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800"/>
      </w:pPr>
      <w:r>
        <w:rPr>
          <w:rFonts w:ascii="Arial" w:cs="Arial" w:eastAsia="Arial" w:hAnsi="Arial"/>
          <w:b/>
          <w:bCs/>
          <w:color w:val="1F4E79"/>
          <w:sz w:val="52"/>
          <w:szCs w:val="52"/>
        </w:rPr>
        <w:t xml:space="preserve">NHS References for MMI Preparation</w:t>
      </w:r>
    </w:p>
    <w:p>
      <w:pPr>
        <w:pBdr>
          <w:bottom w:val="single" w:color="1F4E79" w:sz="12" w:space="6"/>
        </w:pBdr>
        <w:spacing w:after="360"/>
      </w:pPr>
      <w:r>
        <w:rPr>
          <w:rFonts w:ascii="Arial" w:cs="Arial" w:eastAsia="Arial" w:hAnsi="Arial"/>
          <w:color w:val="595959"/>
          <w:sz w:val="26"/>
          <w:szCs w:val="26"/>
        </w:rPr>
        <w:t xml:space="preserve">Extended study guide: healthcare system, current issues, ethics, values and policy</w:t>
      </w:r>
    </w:p>
    <w:p>
      <w:pPr>
        <w:spacing w:after="120" w:line="276"/>
      </w:pPr>
      <w:r>
        <w:rPr>
          <w:rFonts w:ascii="Arial" w:cs="Arial" w:eastAsia="Arial" w:hAnsi="Arial"/>
          <w:color w:val="595959"/>
          <w:sz w:val="22"/>
          <w:szCs w:val="22"/>
        </w:rPr>
        <w:t xml:space="preserve">Prepared for EduQuest MMI coaching | October 2026</w:t>
      </w:r>
    </w:p>
    <w:p>
      <w:pPr>
        <w:spacing w:after="120"/>
      </w:pPr>
    </w:p>
    <w:p>
      <w:pPr>
        <w:pStyle w:val="Heading2"/>
        <w:keepNext/>
        <w:spacing w:after="100" w:before="240"/>
      </w:pPr>
      <w:r>
        <w:rPr>
          <w:rFonts w:ascii="Arial" w:cs="Arial" w:eastAsia="Arial" w:hAnsi="Arial"/>
        </w:rPr>
        <w:t xml:space="preserve">What is inside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Part 1: Healthcare system.</w:t>
      </w:r>
      <w:r>
        <w:rPr>
          <w:rFonts w:ascii="Arial" w:cs="Arial" w:eastAsia="Arial" w:hAnsi="Arial"/>
        </w:rPr>
        <w:t xml:space="preserve"> Funding, structure, the patient pathway, devolution, social care and how the NHS compares internationally.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Part 2: Current issues.</w:t>
      </w:r>
      <w:r>
        <w:rPr>
          <w:rFonts w:ascii="Arial" w:cs="Arial" w:eastAsia="Arial" w:hAnsi="Arial"/>
        </w:rPr>
        <w:t xml:space="preserve"> Waiting lists, emergency care, workforce, GP access, social care and health inequalities, with a key-figures table.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Part 3: Medical ethics.</w:t>
      </w:r>
      <w:r>
        <w:rPr>
          <w:rFonts w:ascii="Arial" w:cs="Arial" w:eastAsia="Arial" w:hAnsi="Arial"/>
        </w:rPr>
        <w:t xml:space="preserve"> The four principles, confidentiality, consent, equality of access, resource allocation and candour, with worked scenarios.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Part 4: NHS values.</w:t>
      </w:r>
      <w:r>
        <w:rPr>
          <w:rFonts w:ascii="Arial" w:cs="Arial" w:eastAsia="Arial" w:hAnsi="Arial"/>
        </w:rPr>
        <w:t xml:space="preserve"> The NHS Constitution, the 6Cs and the lessons of Mid Staffordshire, turned into behaviours you can describe.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Part 5: Healthcare policy.</w:t>
      </w:r>
      <w:r>
        <w:rPr>
          <w:rFonts w:ascii="Arial" w:cs="Arial" w:eastAsia="Arial" w:hAnsi="Arial"/>
        </w:rPr>
        <w:t xml:space="preserve"> The 10 Year Health Plan, funding settlement, structural reform, public health and how to evaluate a policy.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Part 6: MMI toolkit.</w:t>
      </w:r>
      <w:r>
        <w:rPr>
          <w:rFonts w:ascii="Arial" w:cs="Arial" w:eastAsia="Arial" w:hAnsi="Arial"/>
        </w:rPr>
        <w:t xml:space="preserve"> Answer frameworks, 10 practice stations with model points, common mistakes and a glossary.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Part 7: Sources and verification.</w:t>
      </w:r>
      <w:r>
        <w:rPr>
          <w:rFonts w:ascii="Arial" w:cs="Arial" w:eastAsia="Arial" w:hAnsi="Arial"/>
        </w:rPr>
        <w:t xml:space="preserve"/>
      </w:r>
    </w:p>
    <w:p>
      <w:pPr>
        <w:pStyle w:val="Heading1"/>
        <w:pageBreakBefore/>
        <w:spacing w:after="160" w:before="240"/>
      </w:pPr>
      <w:r>
        <w:rPr>
          <w:rFonts w:ascii="Arial" w:cs="Arial" w:eastAsia="Arial" w:hAnsi="Arial"/>
        </w:rPr>
        <w:t xml:space="preserve">Part 1: Healthcare system: how the NHS is funded and organised</w:t>
      </w:r>
    </w:p>
    <w:p>
      <w:pPr>
        <w:pStyle w:val="Heading2"/>
        <w:keepNext/>
        <w:spacing w:after="100" w:before="240"/>
      </w:pPr>
      <w:r>
        <w:rPr>
          <w:rFonts w:ascii="Arial" w:cs="Arial" w:eastAsia="Arial" w:hAnsi="Arial"/>
        </w:rPr>
        <w:t xml:space="preserve">1.1 What the NHS England website shows</w:t>
      </w:r>
    </w:p>
    <w:p>
      <w:pPr>
        <w:spacing w:after="120" w:line="276"/>
      </w:pPr>
      <w:r>
        <w:rPr>
          <w:rFonts w:ascii="Arial" w:cs="Arial" w:eastAsia="Arial" w:hAnsi="Arial"/>
        </w:rPr>
        <w:t xml:space="preserve">NHS England describes its purpose as leading the NHS in England to deliver high-quality services for all. The homepage directs people looking for health conditions and services to NHS.uk, and offers My Planned Care, a service giving advice and support to people waiting for a hospital consultation, treatment or surgery. Its programme areas give a quick map of what the organisation sees as priorities: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rPr>
          <w:cantSplit/>
          <w:tblHeader/>
        </w:trPr>
        <w:tc>
          <w:tcPr>
            <w:tcW w:type="dxa" w:w="2400"/>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Programme area</w:t>
            </w:r>
          </w:p>
        </w:tc>
        <w:tc>
          <w:tcPr>
            <w:tcW w:type="dxa" w:w="7238"/>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What it aims to do (as described on the site)</w:t>
            </w:r>
          </w:p>
        </w:tc>
      </w:tr>
      <w:tr>
        <w:trPr>
          <w:cantSplit/>
          <w:tblHeader w:val="false"/>
        </w:trPr>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Elective care</w:t>
            </w:r>
          </w:p>
        </w:tc>
        <w:tc>
          <w:tcPr>
            <w:tcW w:type="dxa" w:w="72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Improve experience and give people choice and control over planned services.</w:t>
            </w:r>
          </w:p>
        </w:tc>
      </w:tr>
      <w:tr>
        <w:trPr>
          <w:cantSplit/>
          <w:tblHeader w:val="false"/>
        </w:trPr>
        <w:tc>
          <w:tcPr>
            <w:tcW w:type="dxa" w:w="24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Workforce</w:t>
            </w:r>
          </w:p>
        </w:tc>
        <w:tc>
          <w:tcPr>
            <w:tcW w:type="dxa" w:w="72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Put the NHS workforce on a sustainable footing and meet future challenges.</w:t>
            </w:r>
          </w:p>
        </w:tc>
      </w:tr>
      <w:tr>
        <w:trPr>
          <w:cantSplit/>
          <w:tblHeader w:val="false"/>
        </w:trPr>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Mental health</w:t>
            </w:r>
          </w:p>
        </w:tc>
        <w:tc>
          <w:tcPr>
            <w:tcW w:type="dxa" w:w="72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Improve outcomes and experiences for people with mental health problems.</w:t>
            </w:r>
          </w:p>
        </w:tc>
      </w:tr>
      <w:tr>
        <w:trPr>
          <w:cantSplit/>
          <w:tblHeader w:val="false"/>
        </w:trPr>
        <w:tc>
          <w:tcPr>
            <w:tcW w:type="dxa" w:w="24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Integrated care</w:t>
            </w:r>
          </w:p>
        </w:tc>
        <w:tc>
          <w:tcPr>
            <w:tcW w:type="dxa" w:w="72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Give people the support they need and remove disjointed care.</w:t>
            </w:r>
          </w:p>
        </w:tc>
      </w:tr>
      <w:tr>
        <w:trPr>
          <w:cantSplit/>
          <w:tblHeader w:val="false"/>
        </w:trPr>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Cancer</w:t>
            </w:r>
          </w:p>
        </w:tc>
        <w:tc>
          <w:tcPr>
            <w:tcW w:type="dxa" w:w="72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Make sure everyone with cancer receives care, support and treatment.</w:t>
            </w:r>
          </w:p>
        </w:tc>
      </w:tr>
      <w:tr>
        <w:trPr>
          <w:cantSplit/>
          <w:tblHeader w:val="false"/>
        </w:trPr>
        <w:tc>
          <w:tcPr>
            <w:tcW w:type="dxa" w:w="24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Primary care</w:t>
            </w:r>
          </w:p>
        </w:tc>
        <w:tc>
          <w:tcPr>
            <w:tcW w:type="dxa" w:w="72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Offer patients a wider choice of personalised health services.</w:t>
            </w:r>
          </w:p>
        </w:tc>
      </w:tr>
      <w:tr>
        <w:trPr>
          <w:cantSplit/>
          <w:tblHeader w:val="false"/>
        </w:trPr>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NHS IMPACT</w:t>
            </w:r>
          </w:p>
        </w:tc>
        <w:tc>
          <w:tcPr>
            <w:tcW w:type="dxa" w:w="72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 single, shared NHS improvement approach.</w:t>
            </w:r>
          </w:p>
        </w:tc>
      </w:tr>
      <w:tr>
        <w:trPr>
          <w:cantSplit/>
          <w:tblHeader w:val="false"/>
        </w:trPr>
        <w:tc>
          <w:tcPr>
            <w:tcW w:type="dxa" w:w="24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NHS @home</w:t>
            </w:r>
          </w:p>
        </w:tc>
        <w:tc>
          <w:tcPr>
            <w:tcW w:type="dxa" w:w="72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Better connected, more personalised care in homes and care homes.</w:t>
            </w:r>
          </w:p>
        </w:tc>
      </w:tr>
      <w:tr>
        <w:trPr>
          <w:cantSplit/>
          <w:tblHeader w:val="false"/>
        </w:trPr>
        <w:tc>
          <w:tcPr>
            <w:tcW w:type="dxa" w:w="24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Urgent and emergency care plan 2025/26</w:t>
            </w:r>
          </w:p>
        </w:tc>
        <w:tc>
          <w:tcPr>
            <w:tcW w:type="dxa" w:w="72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Get patients out of corridors, keep more ambulances on the road, and help those ready to leave hospital do so sooner.</w:t>
            </w:r>
          </w:p>
        </w:tc>
      </w:tr>
      <w:tr>
        <w:trPr>
          <w:cantSplit/>
          <w:tblHeader w:val="false"/>
        </w:trPr>
        <w:tc>
          <w:tcPr>
            <w:tcW w:type="dxa" w:w="24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Change NHS</w:t>
            </w:r>
          </w:p>
        </w:tc>
        <w:tc>
          <w:tcPr>
            <w:tcW w:type="dxa" w:w="72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Launched October 2024; over 220,000 contributions from the public and staff to shape the 10 Year Health Plan.</w:t>
            </w:r>
          </w:p>
        </w:tc>
      </w:tr>
    </w:tbl>
    <w:p>
      <w:pPr>
        <w:spacing w:after="120"/>
      </w:pPr>
    </w:p>
    <w:p>
      <w:pPr>
        <w:pStyle w:val="Heading2"/>
        <w:keepNext/>
        <w:spacing w:after="100" w:before="240"/>
      </w:pPr>
      <w:r>
        <w:rPr>
          <w:rFonts w:ascii="Arial" w:cs="Arial" w:eastAsia="Arial" w:hAnsi="Arial"/>
        </w:rPr>
        <w:t xml:space="preserve">1.2 Core principles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Founded in 1948</w:t>
      </w:r>
      <w:r>
        <w:rPr>
          <w:rFonts w:ascii="Arial" w:cs="Arial" w:eastAsia="Arial" w:hAnsi="Arial"/>
        </w:rPr>
        <w:t xml:space="preserve"> on the principle that care should be based on clinical need, not ability to pay.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Free at the point of use</w:t>
      </w:r>
      <w:r>
        <w:rPr>
          <w:rFonts w:ascii="Arial" w:cs="Arial" w:eastAsia="Arial" w:hAnsi="Arial"/>
        </w:rPr>
        <w:t xml:space="preserve"> for most services. Charges exist for some things: prescriptions in England (with many exemptions), most adult dental care and optical services.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Comprehensive and universal.</w:t>
      </w:r>
      <w:r>
        <w:rPr>
          <w:rFonts w:ascii="Arial" w:cs="Arial" w:eastAsia="Arial" w:hAnsi="Arial"/>
        </w:rPr>
        <w:t xml:space="preserve"> It aims to cover the whole population and a very wide range of services.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Publicly funded and largely publicly provided,</w:t>
      </w:r>
      <w:r>
        <w:rPr>
          <w:rFonts w:ascii="Arial" w:cs="Arial" w:eastAsia="Arial" w:hAnsi="Arial"/>
        </w:rPr>
        <w:t xml:space="preserve"> although much primary care and some hospital capacity is delivered by independent or private organisations under NHS contracts.</w:t>
      </w:r>
    </w:p>
    <w:p>
      <w:pPr>
        <w:pStyle w:val="Heading2"/>
        <w:keepNext/>
        <w:spacing w:after="100" w:before="240"/>
      </w:pPr>
      <w:r>
        <w:rPr>
          <w:rFonts w:ascii="Arial" w:cs="Arial" w:eastAsia="Arial" w:hAnsi="Arial"/>
        </w:rPr>
        <w:t xml:space="preserve">1.3 How it is funded</w:t>
      </w:r>
    </w:p>
    <w:p>
      <w:pPr>
        <w:spacing w:after="120" w:line="276"/>
      </w:pPr>
      <w:r>
        <w:rPr>
          <w:rFonts w:ascii="Arial" w:cs="Arial" w:eastAsia="Arial" w:hAnsi="Arial"/>
        </w:rPr>
        <w:t xml:space="preserve">The NHS is mainly funded from general taxation, with National Insurance contributions and a smaller share from patient charges and other income. The Department of Health and Social Care (DHSC) holds the budget; the large majority of DHSC day-to-day funding goes to NHS England, which allocates it to local systems.</w:t>
      </w:r>
    </w:p>
    <w:p>
      <w:pPr>
        <w:spacing w:after="120" w:line="276"/>
      </w:pPr>
      <w:r>
        <w:rPr>
          <w:rFonts w:ascii="Arial" w:cs="Arial" w:eastAsia="Arial" w:hAnsi="Arial"/>
        </w:rPr>
        <w:t xml:space="preserve"/>
      </w:r>
      <w:r>
        <w:rPr>
          <w:rFonts w:ascii="Arial" w:cs="Arial" w:eastAsia="Arial" w:hAnsi="Arial"/>
          <w:b/>
          <w:bCs/>
        </w:rPr>
        <w:t xml:space="preserve">Recent funding picture (Spending Review, June 2025):</w:t>
      </w:r>
      <w:r>
        <w:rPr>
          <w:rFonts w:ascii="Arial" w:cs="Arial" w:eastAsia="Arial" w:hAnsi="Arial"/>
        </w:rPr>
        <w:t xml:space="preserve"/>
      </w:r>
    </w:p>
    <w:p>
      <w:pPr>
        <w:pStyle w:val="ListParagraph"/>
        <w:numPr>
          <w:ilvl w:val="0"/>
          <w:numId w:val="2"/>
        </w:numPr>
        <w:spacing w:after="70" w:line="264"/>
      </w:pPr>
      <w:r>
        <w:rPr>
          <w:rFonts w:ascii="Arial" w:cs="Arial" w:eastAsia="Arial" w:hAnsi="Arial"/>
        </w:rPr>
        <w:t xml:space="preserve">NHS England day-to-day funding was planned to rise from about £195.6 billion in 2025/26 to about £226.1 billion in 2028/29, around 3% a year on average in real terms from 2026/27.</w:t>
      </w:r>
    </w:p>
    <w:p>
      <w:pPr>
        <w:pStyle w:val="ListParagraph"/>
        <w:numPr>
          <w:ilvl w:val="0"/>
          <w:numId w:val="2"/>
        </w:numPr>
        <w:spacing w:after="70" w:line="264"/>
      </w:pPr>
      <w:r>
        <w:rPr>
          <w:rFonts w:ascii="Arial" w:cs="Arial" w:eastAsia="Arial" w:hAnsi="Arial"/>
        </w:rPr>
        <w:t xml:space="preserve">The Chancellor described this as an extra £29 billion a year for running the service by 2028/29, compared with 2023/24 in real terms.</w:t>
      </w:r>
    </w:p>
    <w:p>
      <w:pPr>
        <w:pStyle w:val="ListParagraph"/>
        <w:numPr>
          <w:ilvl w:val="0"/>
          <w:numId w:val="2"/>
        </w:numPr>
        <w:spacing w:after="70" w:line="264"/>
      </w:pPr>
      <w:r>
        <w:rPr>
          <w:rFonts w:ascii="Arial" w:cs="Arial" w:eastAsia="Arial" w:hAnsi="Arial"/>
        </w:rPr>
        <w:t xml:space="preserve">Capital funding (buildings, equipment, technology) was described as the largest ever health capital budget, though NHS leaders argued it would still not clear the maintenance backlog or fund all the new facilities needed.</w:t>
      </w:r>
    </w:p>
    <w:p>
      <w:pPr>
        <w:pStyle w:val="ListParagraph"/>
        <w:numPr>
          <w:ilvl w:val="0"/>
          <w:numId w:val="2"/>
        </w:numPr>
        <w:spacing w:after="70" w:line="264"/>
      </w:pPr>
      <w:r>
        <w:rPr>
          <w:rFonts w:ascii="Arial" w:cs="Arial" w:eastAsia="Arial" w:hAnsi="Arial"/>
        </w:rPr>
        <w:t xml:space="preserve">Think tanks note that health has been protected relative to other departments, but that rising demand from an ageing population, pay awards and cost pressures mean the settlement is tight.</w:t>
      </w:r>
    </w:p>
    <w:p>
      <w:pPr>
        <w:shd w:fill="FFF4D6" w:color="auto" w:val="clear"/>
        <w:spacing w:after="120" w:line="276"/>
      </w:pPr>
      <w:r>
        <w:rPr>
          <w:rFonts w:ascii="Arial" w:cs="Arial" w:eastAsia="Arial" w:hAnsi="Arial"/>
          <w:i w:val="false"/>
          <w:iCs w:val="false"/>
          <w:sz w:val="20"/>
          <w:szCs w:val="20"/>
        </w:rPr>
        <w:t xml:space="preserve"/>
      </w:r>
      <w:r>
        <w:rPr>
          <w:rFonts w:ascii="Arial" w:cs="Arial" w:eastAsia="Arial" w:hAnsi="Arial"/>
          <w:b/>
          <w:bCs/>
          <w:i w:val="false"/>
          <w:iCs w:val="false"/>
          <w:sz w:val="20"/>
          <w:szCs w:val="20"/>
        </w:rPr>
        <w:t xml:space="preserve">MMI use:</w:t>
      </w:r>
      <w:r>
        <w:rPr>
          <w:rFonts w:ascii="Arial" w:cs="Arial" w:eastAsia="Arial" w:hAnsi="Arial"/>
          <w:i w:val="false"/>
          <w:iCs w:val="false"/>
          <w:sz w:val="20"/>
          <w:szCs w:val="20"/>
        </w:rPr>
        <w:t xml:space="preserve"> if asked whether the NHS should be funded differently (insurance, charges, more private provision), give the arguments on both sides rather than a flat answer. Tax funding is efficient and equitable but exposed to political and economic cycles; insurance or charging systems can raise money but risk deterring people from seeking care.</w:t>
      </w:r>
    </w:p>
    <w:p>
      <w:pPr>
        <w:pStyle w:val="Heading2"/>
        <w:keepNext/>
        <w:spacing w:after="100" w:before="240"/>
      </w:pPr>
      <w:r>
        <w:rPr>
          <w:rFonts w:ascii="Arial" w:cs="Arial" w:eastAsia="Arial" w:hAnsi="Arial"/>
        </w:rPr>
        <w:t xml:space="preserve">1.4 How it is organised in England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cantSplit/>
          <w:tblHeader/>
        </w:trPr>
        <w:tc>
          <w:tcPr>
            <w:tcW w:type="dxa" w:w="2300"/>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Body or level</w:t>
            </w:r>
          </w:p>
        </w:tc>
        <w:tc>
          <w:tcPr>
            <w:tcW w:type="dxa" w:w="7338"/>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Role</w:t>
            </w:r>
          </w:p>
        </w:tc>
      </w:tr>
      <w:tr>
        <w:trPr>
          <w:cantSplit/>
          <w:tblHeader w:val="false"/>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Department of Health and Social Care (DHSC)</w:t>
            </w:r>
          </w:p>
        </w:tc>
        <w:tc>
          <w:tcPr>
            <w:tcW w:type="dxa" w:w="73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Sets national policy, legislation and the overall budget. The Secretary of State is accountable to Parliament. NHS England is being brought closer to, and merged into, DHSC.</w:t>
            </w:r>
          </w:p>
        </w:tc>
      </w:tr>
      <w:tr>
        <w:trPr>
          <w:cantSplit/>
          <w:tblHeader w:val="false"/>
        </w:trPr>
        <w:tc>
          <w:tcPr>
            <w:tcW w:type="dxa" w:w="23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NHS England</w:t>
            </w:r>
          </w:p>
        </w:tc>
        <w:tc>
          <w:tcPr>
            <w:tcW w:type="dxa" w:w="73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Oversees and leads the NHS in England: allocates funding, sets standards and priorities, publishes performance data, supports improvement.</w:t>
            </w:r>
          </w:p>
        </w:tc>
      </w:tr>
      <w:tr>
        <w:trPr>
          <w:cantSplit/>
          <w:tblHeader w:val="false"/>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Integrated Care Boards (ICBs)</w:t>
            </w:r>
          </w:p>
        </w:tc>
        <w:tc>
          <w:tcPr>
            <w:tcW w:type="dxa" w:w="73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Created under the Health and Care Act 2022. Plan and commission (buy) services for a local population, and are intended to become strategic commissioners.</w:t>
            </w:r>
          </w:p>
        </w:tc>
      </w:tr>
      <w:tr>
        <w:trPr>
          <w:cantSplit/>
          <w:tblHeader w:val="false"/>
        </w:trPr>
        <w:tc>
          <w:tcPr>
            <w:tcW w:type="dxa" w:w="23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Integrated Care Partnerships</w:t>
            </w:r>
          </w:p>
        </w:tc>
        <w:tc>
          <w:tcPr>
            <w:tcW w:type="dxa" w:w="73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Bring together NHS, local councils and partners to agree a local health and care strategy.</w:t>
            </w:r>
          </w:p>
        </w:tc>
      </w:tr>
      <w:tr>
        <w:trPr>
          <w:cantSplit/>
          <w:tblHeader w:val="false"/>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NHS trusts and foundation trusts</w:t>
            </w:r>
          </w:p>
        </w:tc>
        <w:tc>
          <w:tcPr>
            <w:tcW w:type="dxa" w:w="73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Run hospitals, community, mental health and ambulance services.</w:t>
            </w:r>
          </w:p>
        </w:tc>
      </w:tr>
      <w:tr>
        <w:trPr>
          <w:cantSplit/>
          <w:tblHeader w:val="false"/>
        </w:trPr>
        <w:tc>
          <w:tcPr>
            <w:tcW w:type="dxa" w:w="23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GP practices and Primary Care Networks</w:t>
            </w:r>
          </w:p>
        </w:tc>
        <w:tc>
          <w:tcPr>
            <w:tcW w:type="dxa" w:w="73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Mostly independent contractors providing family medicine; practices work together in networks of roughly 30,000 to 50,000 patients.</w:t>
            </w:r>
          </w:p>
        </w:tc>
      </w:tr>
      <w:tr>
        <w:trPr>
          <w:cantSplit/>
          <w:tblHeader w:val="false"/>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Pharmacies, dentists, opticians</w:t>
            </w:r>
          </w:p>
        </w:tc>
        <w:tc>
          <w:tcPr>
            <w:tcW w:type="dxa" w:w="73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Community providers under NHS contracts; pharmacies are being given a larger clinical role.</w:t>
            </w:r>
          </w:p>
        </w:tc>
      </w:tr>
      <w:tr>
        <w:trPr>
          <w:cantSplit/>
          <w:tblHeader w:val="false"/>
        </w:trPr>
        <w:tc>
          <w:tcPr>
            <w:tcW w:type="dxa" w:w="23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Regulators and bodies</w:t>
            </w:r>
          </w:p>
        </w:tc>
        <w:tc>
          <w:tcPr>
            <w:tcW w:type="dxa" w:w="73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Care Quality Commission (inspects and rates providers), NICE (assesses cost-effectiveness of treatments), GMC and NMC (regulate doctors and nurses), Healthwatch (patient voice).</w:t>
            </w:r>
          </w:p>
        </w:tc>
      </w:tr>
      <w:tr>
        <w:trPr>
          <w:cantSplit/>
          <w:tblHeader w:val="false"/>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Local authorities</w:t>
            </w:r>
          </w:p>
        </w:tc>
        <w:tc>
          <w:tcPr>
            <w:tcW w:type="dxa" w:w="73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Responsible for public health and adult social care, which sit outside the NHS but are closely linked to it.</w:t>
            </w:r>
          </w:p>
        </w:tc>
      </w:tr>
    </w:tbl>
    <w:p>
      <w:pPr>
        <w:spacing w:after="120"/>
      </w:pPr>
    </w:p>
    <w:p>
      <w:pPr>
        <w:pStyle w:val="Heading2"/>
        <w:keepNext/>
        <w:spacing w:after="100" w:before="240"/>
      </w:pPr>
      <w:r>
        <w:rPr>
          <w:rFonts w:ascii="Arial" w:cs="Arial" w:eastAsia="Arial" w:hAnsi="Arial"/>
        </w:rPr>
        <w:t xml:space="preserve">1.5 The patient pathway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Primary care:</w:t>
      </w:r>
      <w:r>
        <w:rPr>
          <w:rFonts w:ascii="Arial" w:cs="Arial" w:eastAsia="Arial" w:hAnsi="Arial"/>
        </w:rPr>
        <w:t xml:space="preserve"> usually the first contact: GP, pharmacist, dentist, optician, NHS 111 or the NHS App.</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Secondary care:</w:t>
      </w:r>
      <w:r>
        <w:rPr>
          <w:rFonts w:ascii="Arial" w:cs="Arial" w:eastAsia="Arial" w:hAnsi="Arial"/>
        </w:rPr>
        <w:t xml:space="preserve"> hospital and specialist services, reached by GP referral (planned or elective care) or through A&amp;E and 999 (urgent and emergency care).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Tertiary care:</w:t>
      </w:r>
      <w:r>
        <w:rPr>
          <w:rFonts w:ascii="Arial" w:cs="Arial" w:eastAsia="Arial" w:hAnsi="Arial"/>
        </w:rPr>
        <w:t xml:space="preserve"> highly specialised centres, for example complex cancer surgery, transplants, specialist paediatrics.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Community and mental health services:</w:t>
      </w:r>
      <w:r>
        <w:rPr>
          <w:rFonts w:ascii="Arial" w:cs="Arial" w:eastAsia="Arial" w:hAnsi="Arial"/>
        </w:rPr>
        <w:t xml:space="preserve"> district nursing, rehabilitation, talking therapies, crisis teams.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Social care:</w:t>
      </w:r>
      <w:r>
        <w:rPr>
          <w:rFonts w:ascii="Arial" w:cs="Arial" w:eastAsia="Arial" w:hAnsi="Arial"/>
        </w:rPr>
        <w:t xml:space="preserve"> help with daily living (care homes, home care). It is means-tested and run by councils, not free at the point of use like the NHS.</w:t>
      </w:r>
    </w:p>
    <w:p>
      <w:pPr>
        <w:spacing w:after="120" w:line="276"/>
      </w:pPr>
      <w:r>
        <w:rPr>
          <w:rFonts w:ascii="Arial" w:cs="Arial" w:eastAsia="Arial" w:hAnsi="Arial"/>
        </w:rPr>
        <w:t xml:space="preserve"/>
      </w:r>
      <w:r>
        <w:rPr>
          <w:rFonts w:ascii="Arial" w:cs="Arial" w:eastAsia="Arial" w:hAnsi="Arial"/>
          <w:b/>
          <w:bCs/>
        </w:rPr>
        <w:t xml:space="preserve">Why this matters in MMI:</w:t>
      </w:r>
      <w:r>
        <w:rPr>
          <w:rFonts w:ascii="Arial" w:cs="Arial" w:eastAsia="Arial" w:hAnsi="Arial"/>
        </w:rPr>
        <w:t xml:space="preserve"> most station problems sit on a boundary between these levels, such as a patient delayed in hospital because no care package exists, or someone using A&amp;E because they cannot get a GP appointment.</w:t>
      </w:r>
    </w:p>
    <w:p>
      <w:pPr>
        <w:pStyle w:val="Heading2"/>
        <w:keepNext/>
        <w:spacing w:after="100" w:before="240"/>
      </w:pPr>
      <w:r>
        <w:rPr>
          <w:rFonts w:ascii="Arial" w:cs="Arial" w:eastAsia="Arial" w:hAnsi="Arial"/>
        </w:rPr>
        <w:t xml:space="preserve">1.6 Devolution</w:t>
      </w:r>
    </w:p>
    <w:p>
      <w:pPr>
        <w:spacing w:after="120" w:line="276"/>
      </w:pPr>
      <w:r>
        <w:rPr>
          <w:rFonts w:ascii="Arial" w:cs="Arial" w:eastAsia="Arial" w:hAnsi="Arial"/>
        </w:rPr>
        <w:t xml:space="preserve">Health is a devolved matter. NHS England, NHS Scotland, NHS Wales and Health and Social Care in Northern Ireland are separate systems with their own governments, budgets, targets and waiting-time data. Be precise: say England when discussing NHS England figures, and avoid implying that a number applies to the whole UK.</w:t>
      </w:r>
    </w:p>
    <w:p>
      <w:pPr>
        <w:pStyle w:val="Heading2"/>
        <w:keepNext/>
        <w:spacing w:after="100" w:before="240"/>
      </w:pPr>
      <w:r>
        <w:rPr>
          <w:rFonts w:ascii="Arial" w:cs="Arial" w:eastAsia="Arial" w:hAnsi="Arial"/>
        </w:rPr>
        <w:t xml:space="preserve">1.7 The independent and private sector</w:t>
      </w:r>
    </w:p>
    <w:p>
      <w:pPr>
        <w:spacing w:after="120" w:line="276"/>
      </w:pPr>
      <w:r>
        <w:rPr>
          <w:rFonts w:ascii="Arial" w:cs="Arial" w:eastAsia="Arial" w:hAnsi="Arial"/>
        </w:rPr>
        <w:t xml:space="preserve">The NHS routinely buys capacity from independent providers, for example to reduce elective waiting times, and GP practices are mostly independent businesses contracted by the NHS. Patients can also pay privately or use insurance. Debates to be ready for: whether using private capacity helps patients or drains NHS staff and money, and whether private provision widens inequality.</w:t>
      </w:r>
    </w:p>
    <w:p>
      <w:pPr>
        <w:pStyle w:val="Heading2"/>
        <w:keepNext/>
        <w:spacing w:after="100" w:before="240"/>
      </w:pPr>
      <w:r>
        <w:rPr>
          <w:rFonts w:ascii="Arial" w:cs="Arial" w:eastAsia="Arial" w:hAnsi="Arial"/>
        </w:rPr>
        <w:t xml:space="preserve">1.8 International comparison</w:t>
      </w:r>
    </w:p>
    <w:p>
      <w:pPr>
        <w:spacing w:after="120" w:line="276"/>
      </w:pPr>
      <w:r>
        <w:rPr>
          <w:rFonts w:ascii="Arial" w:cs="Arial" w:eastAsia="Arial" w:hAnsi="Arial"/>
        </w:rPr>
        <w:t xml:space="preserve">The NHS is often described as a Beveridge-type system: tax-funded, with the state as main payer and largely provider. Other systems use social insurance (Germany, France) or mixed insurance (United States). In an interview, you do not need detailed statistics. A sound point is that no system is perfect: all face rising costs, workforce pressures and ageing populations, and the trade-offs differ.</w:t>
      </w:r>
    </w:p>
    <w:p>
      <w:pPr>
        <w:pStyle w:val="Heading1"/>
        <w:pageBreakBefore/>
        <w:spacing w:after="160" w:before="240"/>
      </w:pPr>
      <w:r>
        <w:rPr>
          <w:rFonts w:ascii="Arial" w:cs="Arial" w:eastAsia="Arial" w:hAnsi="Arial"/>
        </w:rPr>
        <w:t xml:space="preserve">Part 2: Current issues</w:t>
      </w:r>
    </w:p>
    <w:p>
      <w:pPr>
        <w:shd w:fill="FFF4D6" w:color="auto" w:val="clear"/>
        <w:spacing w:after="120" w:line="276"/>
      </w:pPr>
      <w:r>
        <w:rPr>
          <w:rFonts w:ascii="Arial" w:cs="Arial" w:eastAsia="Arial" w:hAnsi="Arial"/>
          <w:i w:val="false"/>
          <w:iCs w:val="false"/>
          <w:sz w:val="20"/>
          <w:szCs w:val="20"/>
        </w:rPr>
        <w:t xml:space="preserve"/>
      </w:r>
      <w:r>
        <w:rPr>
          <w:rFonts w:ascii="Arial" w:cs="Arial" w:eastAsia="Arial" w:hAnsi="Arial"/>
          <w:b/>
          <w:bCs/>
          <w:i w:val="false"/>
          <w:iCs w:val="false"/>
          <w:sz w:val="20"/>
          <w:szCs w:val="20"/>
        </w:rPr>
        <w:t xml:space="preserve">Date check.</w:t>
      </w:r>
      <w:r>
        <w:rPr>
          <w:rFonts w:ascii="Arial" w:cs="Arial" w:eastAsia="Arial" w:hAnsi="Arial"/>
          <w:i w:val="false"/>
          <w:iCs w:val="false"/>
          <w:sz w:val="20"/>
          <w:szCs w:val="20"/>
        </w:rPr>
        <w:t xml:space="preserve"> The figures below were gathered in October 2026 from news and professional-body reports. Treat them as a snapshot and update from the NHS England statistics pages before use.</w:t>
      </w:r>
    </w:p>
    <w:p>
      <w:pPr>
        <w:pStyle w:val="Heading2"/>
        <w:keepNext/>
        <w:spacing w:after="100" w:before="240"/>
      </w:pPr>
      <w:r>
        <w:rPr>
          <w:rFonts w:ascii="Arial" w:cs="Arial" w:eastAsia="Arial" w:hAnsi="Arial"/>
        </w:rPr>
        <w:t xml:space="preserve">2.1 Key figures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600"/>
        <w:gridCol w:w="3038"/>
      </w:tblGrid>
      <w:tr>
        <w:trPr>
          <w:cantSplit/>
          <w:tblHeader/>
        </w:trPr>
        <w:tc>
          <w:tcPr>
            <w:tcW w:type="dxa" w:w="3000"/>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Indicator</w:t>
            </w:r>
          </w:p>
        </w:tc>
        <w:tc>
          <w:tcPr>
            <w:tcW w:type="dxa" w:w="3600"/>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Latest reported figure</w:t>
            </w:r>
          </w:p>
        </w:tc>
        <w:tc>
          <w:tcPr>
            <w:tcW w:type="dxa" w:w="3038"/>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Date / source type</w:t>
            </w:r>
          </w:p>
        </w:tc>
      </w:tr>
      <w:tr>
        <w:trPr>
          <w:cantSplit/>
          <w:tblHeader w:val="false"/>
        </w:trPr>
        <w:tc>
          <w:tcPr>
            <w:tcW w:type="dxa" w:w="3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Elective waiting list (England)</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About 7.37 million treatments, relating to 6.24 million patients</w:t>
            </w:r>
          </w:p>
        </w:tc>
        <w:tc>
          <w:tcPr>
            <w:tcW w:type="dxa" w:w="30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End of August 2026 (news report on NHS data)</w:t>
            </w:r>
          </w:p>
        </w:tc>
      </w:tr>
      <w:tr>
        <w:trPr>
          <w:cantSplit/>
          <w:tblHeader w:val="false"/>
        </w:trPr>
        <w:tc>
          <w:tcPr>
            <w:tcW w:type="dxa" w:w="30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Waiting over a year for routine treatment</w:t>
            </w:r>
          </w:p>
        </w:tc>
        <w:tc>
          <w:tcPr>
            <w:tcW w:type="dxa" w:w="36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About 113,000 people</w:t>
            </w:r>
          </w:p>
        </w:tc>
        <w:tc>
          <w:tcPr>
            <w:tcW w:type="dxa" w:w="30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End of August 2026</w:t>
            </w:r>
          </w:p>
        </w:tc>
      </w:tr>
      <w:tr>
        <w:trPr>
          <w:cantSplit/>
          <w:tblHeader w:val="false"/>
        </w:trPr>
        <w:tc>
          <w:tcPr>
            <w:tcW w:type="dxa" w:w="3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Treated within 18 weeks</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Around 65%, against a constitutional standard of 92%</w:t>
            </w:r>
          </w:p>
        </w:tc>
        <w:tc>
          <w:tcPr>
            <w:tcW w:type="dxa" w:w="30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2026; interim 65% target first met in March 2026</w:t>
            </w:r>
          </w:p>
        </w:tc>
      </w:tr>
      <w:tr>
        <w:trPr>
          <w:cantSplit/>
          <w:tblHeader w:val="false"/>
        </w:trPr>
        <w:tc>
          <w:tcPr>
            <w:tcW w:type="dxa" w:w="30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Lowest recent list size</w:t>
            </w:r>
          </w:p>
        </w:tc>
        <w:tc>
          <w:tcPr>
            <w:tcW w:type="dxa" w:w="36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About 7.1 million, the lowest since August 2022</w:t>
            </w:r>
          </w:p>
        </w:tc>
        <w:tc>
          <w:tcPr>
            <w:tcW w:type="dxa" w:w="30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March 2026</w:t>
            </w:r>
          </w:p>
        </w:tc>
      </w:tr>
      <w:tr>
        <w:trPr>
          <w:cantSplit/>
          <w:tblHeader w:val="false"/>
        </w:trPr>
        <w:tc>
          <w:tcPr>
            <w:tcW w:type="dxa" w:w="3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Historic peak</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7.77 million treatments, 6.50 million patients</w:t>
            </w:r>
          </w:p>
        </w:tc>
        <w:tc>
          <w:tcPr>
            <w:tcW w:type="dxa" w:w="30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September 2023</w:t>
            </w:r>
          </w:p>
        </w:tc>
      </w:tr>
      <w:tr>
        <w:trPr>
          <w:cantSplit/>
          <w:tblHeader w:val="false"/>
        </w:trPr>
        <w:tc>
          <w:tcPr>
            <w:tcW w:type="dxa" w:w="30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Pre-pandemic list</w:t>
            </w:r>
          </w:p>
        </w:tc>
        <w:tc>
          <w:tcPr>
            <w:tcW w:type="dxa" w:w="36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4.57 million treatments</w:t>
            </w:r>
          </w:p>
        </w:tc>
        <w:tc>
          <w:tcPr>
            <w:tcW w:type="dxa" w:w="30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February 2020</w:t>
            </w:r>
          </w:p>
        </w:tc>
      </w:tr>
      <w:tr>
        <w:trPr>
          <w:cantSplit/>
          <w:tblHeader w:val="false"/>
        </w:trPr>
        <w:tc>
          <w:tcPr>
            <w:tcW w:type="dxa" w:w="3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Median wait (patients still waiting)</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About 12.4 weeks</w:t>
            </w:r>
          </w:p>
        </w:tc>
        <w:tc>
          <w:tcPr>
            <w:tcW w:type="dxa" w:w="30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May 2026</w:t>
            </w:r>
          </w:p>
        </w:tc>
      </w:tr>
      <w:tr>
        <w:trPr>
          <w:cantSplit/>
          <w:tblHeader w:val="false"/>
        </w:trPr>
        <w:tc>
          <w:tcPr>
            <w:tcW w:type="dxa" w:w="30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Patients registered with GP practices</w:t>
            </w:r>
          </w:p>
        </w:tc>
        <w:tc>
          <w:tcPr>
            <w:tcW w:type="dxa" w:w="36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About 63.7 million</w:t>
            </w:r>
          </w:p>
        </w:tc>
        <w:tc>
          <w:tcPr>
            <w:tcW w:type="dxa" w:w="30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February 2026 (BMA analysis)</w:t>
            </w:r>
          </w:p>
        </w:tc>
      </w:tr>
      <w:tr>
        <w:trPr>
          <w:cantSplit/>
          <w:tblHeader w:val="false"/>
        </w:trPr>
        <w:tc>
          <w:tcPr>
            <w:tcW w:type="dxa" w:w="3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Fully qualified FTE GPs</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About 28,900</w:t>
            </w:r>
          </w:p>
        </w:tc>
        <w:tc>
          <w:tcPr>
            <w:tcW w:type="dxa" w:w="30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February 2026 (BMA analysis)</w:t>
            </w:r>
          </w:p>
        </w:tc>
      </w:tr>
      <w:tr>
        <w:trPr>
          <w:cantSplit/>
          <w:tblHeader w:val="false"/>
        </w:trPr>
        <w:tc>
          <w:tcPr>
            <w:tcW w:type="dxa" w:w="30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Patients per FTE GP</w:t>
            </w:r>
          </w:p>
        </w:tc>
        <w:tc>
          <w:tcPr>
            <w:tcW w:type="dxa" w:w="36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About 2,200 (DHSC cited 2,133 in January 2026 using a broader count, versus 1,938 in September 2015)</w:t>
            </w:r>
          </w:p>
        </w:tc>
        <w:tc>
          <w:tcPr>
            <w:tcW w:type="dxa" w:w="30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Early 2026; definitions differ</w:t>
            </w:r>
          </w:p>
        </w:tc>
      </w:tr>
      <w:tr>
        <w:trPr>
          <w:cantSplit/>
          <w:tblHeader w:val="false"/>
        </w:trPr>
        <w:tc>
          <w:tcPr>
            <w:tcW w:type="dxa" w:w="30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GP appointments</w:t>
            </w:r>
          </w:p>
        </w:tc>
        <w:tc>
          <w:tcPr>
            <w:tcW w:type="dxa" w:w="3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About 30.8 million in the month; about 44% delivered by a GP; roughly 45% same day</w:t>
            </w:r>
          </w:p>
        </w:tc>
        <w:tc>
          <w:tcPr>
            <w:tcW w:type="dxa" w:w="30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February to June 2026</w:t>
            </w:r>
          </w:p>
        </w:tc>
      </w:tr>
      <w:tr>
        <w:trPr>
          <w:cantSplit/>
          <w:tblHeader w:val="false"/>
        </w:trPr>
        <w:tc>
          <w:tcPr>
            <w:tcW w:type="dxa" w:w="30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Overseas-trained doctors leaving the UK workforce</w:t>
            </w:r>
          </w:p>
        </w:tc>
        <w:tc>
          <w:tcPr>
            <w:tcW w:type="dxa" w:w="36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4,880 in 2024, up 26% on 2023</w:t>
            </w:r>
          </w:p>
        </w:tc>
        <w:tc>
          <w:tcPr>
            <w:tcW w:type="dxa" w:w="30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GMC figures reported 2025</w:t>
            </w:r>
          </w:p>
        </w:tc>
      </w:tr>
    </w:tbl>
    <w:p>
      <w:pPr>
        <w:spacing w:after="120"/>
      </w:pPr>
    </w:p>
    <w:p>
      <w:pPr>
        <w:spacing w:after="120" w:line="276"/>
      </w:pPr>
      <w:r>
        <w:rPr>
          <w:rFonts w:ascii="Arial" w:cs="Arial" w:eastAsia="Arial" w:hAnsi="Arial"/>
          <w:i/>
          <w:iCs/>
        </w:rPr>
        <w:t xml:space="preserve">Notice that two sources can give slightly different numbers for the same measure (for example patients per GP) because of what is counted. In an interview, saying "roughly" and "around" is both honest and safe.</w:t>
      </w:r>
    </w:p>
    <w:p>
      <w:pPr>
        <w:pStyle w:val="Heading2"/>
        <w:keepNext/>
        <w:spacing w:after="100" w:before="240"/>
      </w:pPr>
      <w:r>
        <w:rPr>
          <w:rFonts w:ascii="Arial" w:cs="Arial" w:eastAsia="Arial" w:hAnsi="Arial"/>
        </w:rPr>
        <w:t xml:space="preserve">2.2 Waiting lists</w:t>
      </w:r>
    </w:p>
    <w:p>
      <w:pPr>
        <w:pStyle w:val="Heading3"/>
        <w:keepNext/>
        <w:spacing w:after="80" w:before="180"/>
      </w:pPr>
      <w:r>
        <w:rPr>
          <w:rFonts w:ascii="Arial" w:cs="Arial" w:eastAsia="Arial" w:hAnsi="Arial"/>
        </w:rPr>
        <w:t xml:space="preserve">What the numbers say</w:t>
      </w:r>
    </w:p>
    <w:p>
      <w:pPr>
        <w:pStyle w:val="ListParagraph"/>
        <w:numPr>
          <w:ilvl w:val="0"/>
          <w:numId w:val="2"/>
        </w:numPr>
        <w:spacing w:after="70" w:line="264"/>
      </w:pPr>
      <w:r>
        <w:rPr>
          <w:rFonts w:ascii="Arial" w:cs="Arial" w:eastAsia="Arial" w:hAnsi="Arial"/>
        </w:rPr>
        <w:t xml:space="preserve">The list rose from about 4.6 million in early 2020 to a record 7.77 million in September 2023, then fell during 2025 and early 2026 to about 7.1 million.</w:t>
      </w:r>
    </w:p>
    <w:p>
      <w:pPr>
        <w:pStyle w:val="ListParagraph"/>
        <w:numPr>
          <w:ilvl w:val="0"/>
          <w:numId w:val="2"/>
        </w:numPr>
        <w:spacing w:after="70" w:line="264"/>
      </w:pPr>
      <w:r>
        <w:rPr>
          <w:rFonts w:ascii="Arial" w:cs="Arial" w:eastAsia="Arial" w:hAnsi="Arial"/>
        </w:rPr>
        <w:t xml:space="preserve">Since spring 2026 it has crept back up, reaching about 7.37 million treatments at the end of August 2026, the highest since October 2025.</w:t>
      </w:r>
    </w:p>
    <w:p>
      <w:pPr>
        <w:pStyle w:val="ListParagraph"/>
        <w:numPr>
          <w:ilvl w:val="0"/>
          <w:numId w:val="2"/>
        </w:numPr>
        <w:spacing w:after="70" w:line="264"/>
      </w:pPr>
      <w:r>
        <w:rPr>
          <w:rFonts w:ascii="Arial" w:cs="Arial" w:eastAsia="Arial" w:hAnsi="Arial"/>
        </w:rPr>
        <w:t xml:space="preserve">The government has pledged that 92% of patients will start treatment within 18 weeks by the end of this parliament (2029). Analysts note that even holding the list steady, an extra 1.9 million patients would need to be seen within 18 weeks to hit that target.</w:t>
      </w:r>
    </w:p>
    <w:p>
      <w:pPr>
        <w:pStyle w:val="Heading3"/>
        <w:keepNext/>
        <w:spacing w:after="80" w:before="180"/>
      </w:pPr>
      <w:r>
        <w:rPr>
          <w:rFonts w:ascii="Arial" w:cs="Arial" w:eastAsia="Arial" w:hAnsi="Arial"/>
        </w:rPr>
        <w:t xml:space="preserve">Why the list is long</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Pandemic backlog:</w:t>
      </w:r>
      <w:r>
        <w:rPr>
          <w:rFonts w:ascii="Arial" w:cs="Arial" w:eastAsia="Arial" w:hAnsi="Arial"/>
        </w:rPr>
        <w:t xml:space="preserve"> elective care was paused or reduced in 2020 to 2021, and many people delayed seeking help.</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Rising demand:</w:t>
      </w:r>
      <w:r>
        <w:rPr>
          <w:rFonts w:ascii="Arial" w:cs="Arial" w:eastAsia="Arial" w:hAnsi="Arial"/>
        </w:rPr>
        <w:t xml:space="preserve"> an ageing population with more long-term conditions, and more people coming forward for diagnosis.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Capacity:</w:t>
      </w:r>
      <w:r>
        <w:rPr>
          <w:rFonts w:ascii="Arial" w:cs="Arial" w:eastAsia="Arial" w:hAnsi="Arial"/>
        </w:rPr>
        <w:t xml:space="preserve"> limited beds, theatre time, diagnostic scanners and staff.</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Flow problems:</w:t>
      </w:r>
      <w:r>
        <w:rPr>
          <w:rFonts w:ascii="Arial" w:cs="Arial" w:eastAsia="Arial" w:hAnsi="Arial"/>
        </w:rPr>
        <w:t xml:space="preserve"> beds blocked by patients who are medically fit but cannot leave because social care or community support is not available.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Industrial action:</w:t>
      </w:r>
      <w:r>
        <w:rPr>
          <w:rFonts w:ascii="Arial" w:cs="Arial" w:eastAsia="Arial" w:hAnsi="Arial"/>
        </w:rPr>
        <w:t xml:space="preserve"> strikes by resident doctors have led to postponed appointments and procedures.</w:t>
      </w:r>
    </w:p>
    <w:p>
      <w:pPr>
        <w:pStyle w:val="Heading3"/>
        <w:keepNext/>
        <w:spacing w:after="80" w:before="180"/>
      </w:pPr>
      <w:r>
        <w:rPr>
          <w:rFonts w:ascii="Arial" w:cs="Arial" w:eastAsia="Arial" w:hAnsi="Arial"/>
        </w:rPr>
        <w:t xml:space="preserve">Why it matters for patients</w:t>
      </w:r>
    </w:p>
    <w:p>
      <w:pPr>
        <w:pStyle w:val="ListParagraph"/>
        <w:numPr>
          <w:ilvl w:val="0"/>
          <w:numId w:val="2"/>
        </w:numPr>
        <w:spacing w:after="70" w:line="264"/>
      </w:pPr>
      <w:r>
        <w:rPr>
          <w:rFonts w:ascii="Arial" w:cs="Arial" w:eastAsia="Arial" w:hAnsi="Arial"/>
        </w:rPr>
        <w:t xml:space="preserve">Conditions can worsen while people wait; pain, anxiety and loss of work or independence are common.</w:t>
      </w:r>
    </w:p>
    <w:p>
      <w:pPr>
        <w:pStyle w:val="ListParagraph"/>
        <w:numPr>
          <w:ilvl w:val="0"/>
          <w:numId w:val="2"/>
        </w:numPr>
        <w:spacing w:after="70" w:line="264"/>
      </w:pPr>
      <w:r>
        <w:rPr>
          <w:rFonts w:ascii="Arial" w:cs="Arial" w:eastAsia="Arial" w:hAnsi="Arial"/>
        </w:rPr>
        <w:t xml:space="preserve">Waits are not evenly spread: inequalities in who waits longest, and who can afford to go private.</w:t>
      </w:r>
    </w:p>
    <w:p>
      <w:pPr>
        <w:pStyle w:val="ListParagraph"/>
        <w:numPr>
          <w:ilvl w:val="0"/>
          <w:numId w:val="2"/>
        </w:numPr>
        <w:spacing w:after="70" w:line="264"/>
      </w:pPr>
      <w:r>
        <w:rPr>
          <w:rFonts w:ascii="Arial" w:cs="Arial" w:eastAsia="Arial" w:hAnsi="Arial"/>
        </w:rPr>
        <w:t xml:space="preserve">Staff experience moral distress when they cannot deliver the care they want to.</w:t>
      </w:r>
    </w:p>
    <w:p>
      <w:pPr>
        <w:pStyle w:val="Heading3"/>
        <w:keepNext/>
        <w:spacing w:after="80" w:before="180"/>
      </w:pPr>
      <w:r>
        <w:rPr>
          <w:rFonts w:ascii="Arial" w:cs="Arial" w:eastAsia="Arial" w:hAnsi="Arial"/>
        </w:rPr>
        <w:t xml:space="preserve">What is being done</w:t>
      </w:r>
    </w:p>
    <w:p>
      <w:pPr>
        <w:pStyle w:val="ListParagraph"/>
        <w:numPr>
          <w:ilvl w:val="0"/>
          <w:numId w:val="2"/>
        </w:numPr>
        <w:spacing w:after="70" w:line="264"/>
      </w:pPr>
      <w:r>
        <w:rPr>
          <w:rFonts w:ascii="Arial" w:cs="Arial" w:eastAsia="Arial" w:hAnsi="Arial"/>
        </w:rPr>
        <w:t xml:space="preserve">Advice and support for patients while waiting (My Planned Care), validation of lists, and patient choice of provider.</w:t>
      </w:r>
    </w:p>
    <w:p>
      <w:pPr>
        <w:pStyle w:val="ListParagraph"/>
        <w:numPr>
          <w:ilvl w:val="0"/>
          <w:numId w:val="2"/>
        </w:numPr>
        <w:spacing w:after="70" w:line="264"/>
      </w:pPr>
      <w:r>
        <w:rPr>
          <w:rFonts w:ascii="Arial" w:cs="Arial" w:eastAsia="Arial" w:hAnsi="Arial"/>
        </w:rPr>
        <w:t xml:space="preserve">Community diagnostic centres, extra theatre and weekend capacity, and use of independent-sector capacity.</w:t>
      </w:r>
    </w:p>
    <w:p>
      <w:pPr>
        <w:pStyle w:val="ListParagraph"/>
        <w:numPr>
          <w:ilvl w:val="0"/>
          <w:numId w:val="2"/>
        </w:numPr>
        <w:spacing w:after="70" w:line="264"/>
      </w:pPr>
      <w:r>
        <w:rPr>
          <w:rFonts w:ascii="Arial" w:cs="Arial" w:eastAsia="Arial" w:hAnsi="Arial"/>
        </w:rPr>
        <w:t xml:space="preserve">Better scheduling (for example reducing missed appointments) and moving some follow-up care out of hospital.</w:t>
      </w:r>
    </w:p>
    <w:p>
      <w:pPr>
        <w:pStyle w:val="Heading2"/>
        <w:keepNext/>
        <w:spacing w:after="100" w:before="240"/>
      </w:pPr>
      <w:r>
        <w:rPr>
          <w:rFonts w:ascii="Arial" w:cs="Arial" w:eastAsia="Arial" w:hAnsi="Arial"/>
        </w:rPr>
        <w:t xml:space="preserve">2.3 Urgent and emergency care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Pressure points:</w:t>
      </w:r>
      <w:r>
        <w:rPr>
          <w:rFonts w:ascii="Arial" w:cs="Arial" w:eastAsia="Arial" w:hAnsi="Arial"/>
        </w:rPr>
        <w:t xml:space="preserve"> crowded A&amp;E departments, long trolley waits, and ambulances queueing outside hospitals. Reports on the June 2026 data said A&amp;E and ambulance response times worsened after modest earlier gains. Early autumn 2026 saw more flu and respiratory attendances than usual for the time of year.</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Corridor care:</w:t>
      </w:r>
      <w:r>
        <w:rPr>
          <w:rFonts w:ascii="Arial" w:cs="Arial" w:eastAsia="Arial" w:hAnsi="Arial"/>
        </w:rPr>
        <w:t xml:space="preserve"> patients treated in corridors or temporary spaces because there are no beds. It raises concerns about dignity, privacy, infection control and safety.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Causes:</w:t>
      </w:r>
      <w:r>
        <w:rPr>
          <w:rFonts w:ascii="Arial" w:cs="Arial" w:eastAsia="Arial" w:hAnsi="Arial"/>
        </w:rPr>
        <w:t xml:space="preserve"> limited hospital bed capacity, delayed discharge, difficulty accessing GPs and community services, rising frailty and mental health presentations, and seasonal illness.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Response:</w:t>
      </w:r>
      <w:r>
        <w:rPr>
          <w:rFonts w:ascii="Arial" w:cs="Arial" w:eastAsia="Arial" w:hAnsi="Arial"/>
        </w:rPr>
        <w:t xml:space="preserve"> NHS England's Urgent and Emergency Care Plan 2025/26 focuses on removing corridor care, improving ambulance handover, speeding discharge and expanding urgent community response and same-day emergency care. NHS 111 and the NHS App are intended to direct people to the right service first time.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Standards:</w:t>
      </w:r>
      <w:r>
        <w:rPr>
          <w:rFonts w:ascii="Arial" w:cs="Arial" w:eastAsia="Arial" w:hAnsi="Arial"/>
        </w:rPr>
        <w:t xml:space="preserve"> the long-standing four-hour A&amp;E standard (95% of patients seen, admitted or discharged within four hours) has not been met for years, which is itself a talking point about expectations versus reality.</w:t>
      </w:r>
    </w:p>
    <w:p>
      <w:pPr>
        <w:pStyle w:val="Heading2"/>
        <w:keepNext/>
        <w:spacing w:after="100" w:before="240"/>
      </w:pPr>
      <w:r>
        <w:rPr>
          <w:rFonts w:ascii="Arial" w:cs="Arial" w:eastAsia="Arial" w:hAnsi="Arial"/>
        </w:rPr>
        <w:t xml:space="preserve">2.4 Workforce</w:t>
      </w:r>
    </w:p>
    <w:p>
      <w:pPr>
        <w:spacing w:after="120" w:line="276"/>
      </w:pPr>
      <w:r>
        <w:rPr>
          <w:rFonts w:ascii="Arial" w:cs="Arial" w:eastAsia="Arial" w:hAnsi="Arial"/>
        </w:rPr>
        <w:t xml:space="preserve">Workforce is a separate NHS England programme area, and it underpins every other issue. Key themes: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Shortages and vacancies</w:t>
      </w:r>
      <w:r>
        <w:rPr>
          <w:rFonts w:ascii="Arial" w:cs="Arial" w:eastAsia="Arial" w:hAnsi="Arial"/>
        </w:rPr>
        <w:t xml:space="preserve"> across doctors, nurses, midwives, paramedics and allied health professionals, with particular gaps in general practice, mental health and community nursing.</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Retention and wellbeing:</w:t>
      </w:r>
      <w:r>
        <w:rPr>
          <w:rFonts w:ascii="Arial" w:cs="Arial" w:eastAsia="Arial" w:hAnsi="Arial"/>
        </w:rPr>
        <w:t xml:space="preserve"> surveys consistently put stress, anxiety and depression among top reasons for sickness absence; burnout and moral injury are discussed widely.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Resident doctor dispute:</w:t>
      </w:r>
      <w:r>
        <w:rPr>
          <w:rFonts w:ascii="Arial" w:cs="Arial" w:eastAsia="Arial" w:hAnsi="Arial"/>
        </w:rPr>
        <w:t xml:space="preserve"> the BMA has been in a long dispute with the government over pay (it says resident doctors' pay has fallen about 21% in real terms since 2008) and, more recently, over training places and job security. Resident doctors held strikes in 2025 and again in spring 2026. In an MMI you can discuss the effect on patients and the ethics of industrial action without taking a political side.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Training bottleneck:</w:t>
      </w:r>
      <w:r>
        <w:rPr>
          <w:rFonts w:ascii="Arial" w:cs="Arial" w:eastAsia="Arial" w:hAnsi="Arial"/>
        </w:rPr>
        <w:t xml:space="preserve"> reporting in 2025 noted around 30,000 applicants for roughly 10,000 first-round specialty training places, so many qualified doctors cannot progress even while the NHS is short of doctors.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International recruitment:</w:t>
      </w:r>
      <w:r>
        <w:rPr>
          <w:rFonts w:ascii="Arial" w:cs="Arial" w:eastAsia="Arial" w:hAnsi="Arial"/>
        </w:rPr>
        <w:t xml:space="preserve"> the NHS relies heavily on staff trained abroad; reports in 2025 warned of large holes if overseas-trained doctors leave, with 4,880 leaving in 2024.</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Planning:</w:t>
      </w:r>
      <w:r>
        <w:rPr>
          <w:rFonts w:ascii="Arial" w:cs="Arial" w:eastAsia="Arial" w:hAnsi="Arial"/>
        </w:rPr>
        <w:t xml:space="preserve"> a revamped 10 Year Workforce Plan was promised alongside the 10 Year Health Plan. Check whether and when it has been published and what it commits to.</w:t>
      </w:r>
    </w:p>
    <w:p>
      <w:pPr>
        <w:pStyle w:val="Heading2"/>
        <w:keepNext/>
        <w:spacing w:after="100" w:before="240"/>
      </w:pPr>
      <w:r>
        <w:rPr>
          <w:rFonts w:ascii="Arial" w:cs="Arial" w:eastAsia="Arial" w:hAnsi="Arial"/>
        </w:rPr>
        <w:t xml:space="preserve">2.5 Access to GPs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Demand is rising:</w:t>
      </w:r>
      <w:r>
        <w:rPr>
          <w:rFonts w:ascii="Arial" w:cs="Arial" w:eastAsia="Arial" w:hAnsi="Arial"/>
        </w:rPr>
        <w:t xml:space="preserve"> about 63.7 million registered patients in February 2026, up around 14% since 2015.</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Supply has not kept pace:</w:t>
      </w:r>
      <w:r>
        <w:rPr>
          <w:rFonts w:ascii="Arial" w:cs="Arial" w:eastAsia="Arial" w:hAnsi="Arial"/>
        </w:rPr>
        <w:t xml:space="preserve"> the number of fully qualified FTE GPs is slightly below its 2015 level, and the number of practices has fallen from over 7,600 to about 6,170 through closures and mergers (BMA analysis). The average list per GP has risen to about 2,200 patients.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Activity is high:</w:t>
      </w:r>
      <w:r>
        <w:rPr>
          <w:rFonts w:ascii="Arial" w:cs="Arial" w:eastAsia="Arial" w:hAnsi="Arial"/>
        </w:rPr>
        <w:t xml:space="preserve"> around 1.4 to 1.5 million appointments are delivered each working day, with roughly 45% on the same day. The RCGP stresses that many appointments booked weeks ahead are clinically appropriate, such as reviews and routine care.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Patient experience:</w:t>
      </w:r>
      <w:r>
        <w:rPr>
          <w:rFonts w:ascii="Arial" w:cs="Arial" w:eastAsia="Arial" w:hAnsi="Arial"/>
        </w:rPr>
        <w:t xml:space="preserve"> the GP Patient Survey 2026 reported that about three-quarters of respondents rated their overall experience as good, yet many people report difficulty getting through at 8am, which the 10 Year Health Plan promises to "end".</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Knock-on effect:</w:t>
      </w:r>
      <w:r>
        <w:rPr>
          <w:rFonts w:ascii="Arial" w:cs="Arial" w:eastAsia="Arial" w:hAnsi="Arial"/>
        </w:rPr>
        <w:t xml:space="preserve"> difficulty in primary care can push people to A&amp;E, adding to emergency pressure.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Policy response:</w:t>
      </w:r>
      <w:r>
        <w:rPr>
          <w:rFonts w:ascii="Arial" w:cs="Arial" w:eastAsia="Arial" w:hAnsi="Arial"/>
        </w:rPr>
        <w:t xml:space="preserve"> more GPs and multidisciplinary teams (pharmacists, physiotherapists, mental health practitioners), online access through the NHS App, and neighbourhood health centres.</w:t>
      </w:r>
    </w:p>
    <w:p>
      <w:pPr>
        <w:pStyle w:val="Heading2"/>
        <w:keepNext/>
        <w:spacing w:after="100" w:before="240"/>
      </w:pPr>
      <w:r>
        <w:rPr>
          <w:rFonts w:ascii="Arial" w:cs="Arial" w:eastAsia="Arial" w:hAnsi="Arial"/>
        </w:rPr>
        <w:t xml:space="preserve">2.6 Social care and delayed discharge</w:t>
      </w:r>
    </w:p>
    <w:p>
      <w:pPr>
        <w:spacing w:after="120" w:line="276"/>
      </w:pPr>
      <w:r>
        <w:rPr>
          <w:rFonts w:ascii="Arial" w:cs="Arial" w:eastAsia="Arial" w:hAnsi="Arial"/>
        </w:rPr>
        <w:t xml:space="preserve">Social care is not part of the NHS, but it sets the pace of hospital flow. When there is not enough home care or care-home capacity, medically fit patients stay in hospital beds, which blocks admissions from A&amp;E and slows elective work. Political figures including Andy Burnham have argued that waiting-list recovery is being held back by a failing social care system. The 2025 Spending Review allocated additional funding for adult social care, and a national commission on social care is expected to report. A strong MMI answer recognises that fixing the NHS means fixing the interfaces around it.</w:t>
      </w:r>
    </w:p>
    <w:p>
      <w:pPr>
        <w:pStyle w:val="Heading2"/>
        <w:keepNext/>
        <w:spacing w:after="100" w:before="240"/>
      </w:pPr>
      <w:r>
        <w:rPr>
          <w:rFonts w:ascii="Arial" w:cs="Arial" w:eastAsia="Arial" w:hAnsi="Arial"/>
        </w:rPr>
        <w:t xml:space="preserve">2.7 Mental health</w:t>
      </w:r>
    </w:p>
    <w:p>
      <w:pPr>
        <w:pStyle w:val="ListParagraph"/>
        <w:numPr>
          <w:ilvl w:val="0"/>
          <w:numId w:val="2"/>
        </w:numPr>
        <w:spacing w:after="70" w:line="264"/>
      </w:pPr>
      <w:r>
        <w:rPr>
          <w:rFonts w:ascii="Arial" w:cs="Arial" w:eastAsia="Arial" w:hAnsi="Arial"/>
        </w:rPr>
        <w:t xml:space="preserve">Rising demand for children's and adult services, long waits for talking therapies and specialist care, and crisis care pressures.</w:t>
      </w:r>
    </w:p>
    <w:p>
      <w:pPr>
        <w:pStyle w:val="ListParagraph"/>
        <w:numPr>
          <w:ilvl w:val="0"/>
          <w:numId w:val="2"/>
        </w:numPr>
        <w:spacing w:after="70" w:line="264"/>
      </w:pPr>
      <w:r>
        <w:rPr>
          <w:rFonts w:ascii="Arial" w:cs="Arial" w:eastAsia="Arial" w:hAnsi="Arial"/>
        </w:rPr>
        <w:t xml:space="preserve">Stigma and inequality in who gets access.</w:t>
      </w:r>
    </w:p>
    <w:p>
      <w:pPr>
        <w:pStyle w:val="ListParagraph"/>
        <w:numPr>
          <w:ilvl w:val="0"/>
          <w:numId w:val="2"/>
        </w:numPr>
        <w:spacing w:after="70" w:line="264"/>
      </w:pPr>
      <w:r>
        <w:rPr>
          <w:rFonts w:ascii="Arial" w:cs="Arial" w:eastAsia="Arial" w:hAnsi="Arial"/>
        </w:rPr>
        <w:t xml:space="preserve">The 10 Year Health Plan commits to expanding mental health support teams in schools and enabling self-referral for some services through the NHS App.</w:t>
      </w:r>
    </w:p>
    <w:p>
      <w:pPr>
        <w:pStyle w:val="ListParagraph"/>
        <w:numPr>
          <w:ilvl w:val="0"/>
          <w:numId w:val="2"/>
        </w:numPr>
        <w:spacing w:after="70" w:line="264"/>
      </w:pPr>
      <w:r>
        <w:rPr>
          <w:rFonts w:ascii="Arial" w:cs="Arial" w:eastAsia="Arial" w:hAnsi="Arial"/>
        </w:rPr>
        <w:t xml:space="preserve">MMI angle: parity of esteem, the idea that mental health deserves equal priority to physical health.</w:t>
      </w:r>
    </w:p>
    <w:p>
      <w:pPr>
        <w:pStyle w:val="Heading2"/>
        <w:keepNext/>
        <w:spacing w:after="100" w:before="240"/>
      </w:pPr>
      <w:r>
        <w:rPr>
          <w:rFonts w:ascii="Arial" w:cs="Arial" w:eastAsia="Arial" w:hAnsi="Arial"/>
        </w:rPr>
        <w:t xml:space="preserve">2.8 Health inequalities</w:t>
      </w:r>
    </w:p>
    <w:p>
      <w:pPr>
        <w:pStyle w:val="ListParagraph"/>
        <w:numPr>
          <w:ilvl w:val="0"/>
          <w:numId w:val="2"/>
        </w:numPr>
        <w:spacing w:after="70" w:line="264"/>
      </w:pPr>
      <w:r>
        <w:rPr>
          <w:rFonts w:ascii="Arial" w:cs="Arial" w:eastAsia="Arial" w:hAnsi="Arial"/>
        </w:rPr>
        <w:t xml:space="preserve">People in more deprived areas tend to become ill earlier, live with illness for longer and die younger.</w:t>
      </w:r>
    </w:p>
    <w:p>
      <w:pPr>
        <w:pStyle w:val="ListParagraph"/>
        <w:numPr>
          <w:ilvl w:val="0"/>
          <w:numId w:val="2"/>
        </w:numPr>
        <w:spacing w:after="70" w:line="264"/>
      </w:pPr>
      <w:r>
        <w:rPr>
          <w:rFonts w:ascii="Arial" w:cs="Arial" w:eastAsia="Arial" w:hAnsi="Arial"/>
        </w:rPr>
        <w:t xml:space="preserve">Inequalities also appear by ethnicity (for example in maternity outcomes), disability, geography and inclusion status such as homelessness.</w:t>
      </w:r>
    </w:p>
    <w:p>
      <w:pPr>
        <w:pStyle w:val="ListParagraph"/>
        <w:numPr>
          <w:ilvl w:val="0"/>
          <w:numId w:val="2"/>
        </w:numPr>
        <w:spacing w:after="70" w:line="264"/>
      </w:pPr>
      <w:r>
        <w:rPr>
          <w:rFonts w:ascii="Arial" w:cs="Arial" w:eastAsia="Arial" w:hAnsi="Arial"/>
        </w:rPr>
        <w:t xml:space="preserve">The digital shift can widen gaps if people without internet access or digital skills are excluded; the NHS App commitments say inclusion will be designed in, but detail is limited.</w:t>
      </w:r>
    </w:p>
    <w:p>
      <w:pPr>
        <w:pStyle w:val="ListParagraph"/>
        <w:numPr>
          <w:ilvl w:val="0"/>
          <w:numId w:val="2"/>
        </w:numPr>
        <w:spacing w:after="70" w:line="264"/>
      </w:pPr>
      <w:r>
        <w:rPr>
          <w:rFonts w:ascii="Arial" w:cs="Arial" w:eastAsia="Arial" w:hAnsi="Arial"/>
        </w:rPr>
        <w:t xml:space="preserve">Useful vocabulary: social determinants of health, postcode lottery, proportionate universalism, the inverse care law.</w:t>
      </w:r>
    </w:p>
    <w:p>
      <w:pPr>
        <w:pStyle w:val="Heading2"/>
        <w:keepNext/>
        <w:spacing w:after="100" w:before="240"/>
      </w:pPr>
      <w:r>
        <w:rPr>
          <w:rFonts w:ascii="Arial" w:cs="Arial" w:eastAsia="Arial" w:hAnsi="Arial"/>
        </w:rPr>
        <w:t xml:space="preserve">2.9 How to talk about these issues in an interview</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Acknowledge real pressure without blaming individuals.</w:t>
      </w:r>
      <w:r>
        <w:rPr>
          <w:rFonts w:ascii="Arial" w:cs="Arial" w:eastAsia="Arial" w:hAnsi="Arial"/>
        </w:rPr>
        <w:t xml:space="preserve"> Staff are working hard within a system under strain.</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Show balance:</w:t>
      </w:r>
      <w:r>
        <w:rPr>
          <w:rFonts w:ascii="Arial" w:cs="Arial" w:eastAsia="Arial" w:hAnsi="Arial"/>
        </w:rPr>
        <w:t xml:space="preserve"> progress (for example the fall in waiting lists earlier in 2026) and problems (the recent rise and long waits).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Link causes:</w:t>
      </w:r>
      <w:r>
        <w:rPr>
          <w:rFonts w:ascii="Arial" w:cs="Arial" w:eastAsia="Arial" w:hAnsi="Arial"/>
        </w:rPr>
        <w:t xml:space="preserve"> waiting lists, A&amp;E pressure, workforce and social care are connected.</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Offer a patient-centred response:</w:t>
      </w:r>
      <w:r>
        <w:rPr>
          <w:rFonts w:ascii="Arial" w:cs="Arial" w:eastAsia="Arial" w:hAnsi="Arial"/>
        </w:rPr>
        <w:t xml:space="preserve"> honest communication, safety-netting, prioritising by clinical need and signposting.</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Avoid party-political statements.</w:t>
      </w:r>
      <w:r>
        <w:rPr>
          <w:rFonts w:ascii="Arial" w:cs="Arial" w:eastAsia="Arial" w:hAnsi="Arial"/>
        </w:rPr>
        <w:t xml:space="preserve"> Describe options and trade-offs.</w:t>
      </w:r>
    </w:p>
    <w:p>
      <w:pPr>
        <w:pStyle w:val="Heading1"/>
        <w:pageBreakBefore/>
        <w:spacing w:after="160" w:before="240"/>
      </w:pPr>
      <w:r>
        <w:rPr>
          <w:rFonts w:ascii="Arial" w:cs="Arial" w:eastAsia="Arial" w:hAnsi="Arial"/>
        </w:rPr>
        <w:t xml:space="preserve">Part 3: Medical ethics in an NHS context</w:t>
      </w:r>
    </w:p>
    <w:p>
      <w:pPr>
        <w:spacing w:after="120" w:line="276"/>
      </w:pPr>
      <w:r>
        <w:rPr>
          <w:rFonts w:ascii="Arial" w:cs="Arial" w:eastAsia="Arial" w:hAnsi="Arial"/>
        </w:rPr>
        <w:t xml:space="preserve">The NHS England homepage does not discuss ethics directly, so this part draws on established UK medical-ethics frameworks and law. The aim is to give you language and structure for ethics stations that use NHS scenarios.</w:t>
      </w:r>
    </w:p>
    <w:p>
      <w:pPr>
        <w:pStyle w:val="Heading2"/>
        <w:keepNext/>
        <w:spacing w:after="100" w:before="240"/>
      </w:pPr>
      <w:r>
        <w:rPr>
          <w:rFonts w:ascii="Arial" w:cs="Arial" w:eastAsia="Arial" w:hAnsi="Arial"/>
        </w:rPr>
        <w:t xml:space="preserve">3.1 The four principles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3738"/>
      </w:tblGrid>
      <w:tr>
        <w:trPr>
          <w:cantSplit/>
          <w:tblHeader/>
        </w:trPr>
        <w:tc>
          <w:tcPr>
            <w:tcW w:type="dxa" w:w="2200"/>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Principle</w:t>
            </w:r>
          </w:p>
        </w:tc>
        <w:tc>
          <w:tcPr>
            <w:tcW w:type="dxa" w:w="3700"/>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Meaning</w:t>
            </w:r>
          </w:p>
        </w:tc>
        <w:tc>
          <w:tcPr>
            <w:tcW w:type="dxa" w:w="3738"/>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NHS example</w:t>
            </w:r>
          </w:p>
        </w:tc>
      </w:tr>
      <w:tr>
        <w:trPr>
          <w:cantSplit/>
          <w:tblHeader w:val="false"/>
        </w:trPr>
        <w:tc>
          <w:tcPr>
            <w:tcW w:type="dxa" w:w="22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Autonomy</w:t>
            </w:r>
          </w:p>
        </w:tc>
        <w:tc>
          <w:tcPr>
            <w:tcW w:type="dxa" w:w="37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Respect a competent patient's right to make their own decisions, including ones you disagree with.</w:t>
            </w:r>
          </w:p>
        </w:tc>
        <w:tc>
          <w:tcPr>
            <w:tcW w:type="dxa" w:w="37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 patient declines a recommended operation after being fully informed.</w:t>
            </w:r>
          </w:p>
        </w:tc>
      </w:tr>
      <w:tr>
        <w:trPr>
          <w:cantSplit/>
          <w:tblHeader w:val="false"/>
        </w:trPr>
        <w:tc>
          <w:tcPr>
            <w:tcW w:type="dxa" w:w="22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Beneficence</w:t>
            </w:r>
          </w:p>
        </w:tc>
        <w:tc>
          <w:tcPr>
            <w:tcW w:type="dxa" w:w="37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Act in the patient's best interests and do good.</w:t>
            </w:r>
          </w:p>
        </w:tc>
        <w:tc>
          <w:tcPr>
            <w:tcW w:type="dxa" w:w="37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Expediting a scan for a patient with worrying symptoms.</w:t>
            </w:r>
          </w:p>
        </w:tc>
      </w:tr>
      <w:tr>
        <w:trPr>
          <w:cantSplit/>
          <w:tblHeader w:val="false"/>
        </w:trPr>
        <w:tc>
          <w:tcPr>
            <w:tcW w:type="dxa" w:w="22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Non-maleficence</w:t>
            </w:r>
          </w:p>
        </w:tc>
        <w:tc>
          <w:tcPr>
            <w:tcW w:type="dxa" w:w="37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Avoid causing harm.</w:t>
            </w:r>
          </w:p>
        </w:tc>
        <w:tc>
          <w:tcPr>
            <w:tcW w:type="dxa" w:w="37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Not offering a treatment whose risks clearly outweigh benefits.</w:t>
            </w:r>
          </w:p>
        </w:tc>
      </w:tr>
      <w:tr>
        <w:trPr>
          <w:cantSplit/>
          <w:tblHeader w:val="false"/>
        </w:trPr>
        <w:tc>
          <w:tcPr>
            <w:tcW w:type="dxa" w:w="22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Justice</w:t>
            </w:r>
          </w:p>
        </w:tc>
        <w:tc>
          <w:tcPr>
            <w:tcW w:type="dxa" w:w="37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Fair distribution of resources, treatment and risk.</w:t>
            </w:r>
          </w:p>
        </w:tc>
        <w:tc>
          <w:tcPr>
            <w:tcW w:type="dxa" w:w="37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Prioritising patients on the waiting list by clinical urgency rather than who complains loudest.</w:t>
            </w:r>
          </w:p>
        </w:tc>
      </w:tr>
    </w:tbl>
    <w:p>
      <w:pPr>
        <w:spacing w:after="120"/>
      </w:pPr>
    </w:p>
    <w:p>
      <w:pPr>
        <w:spacing w:after="120" w:line="276"/>
      </w:pPr>
      <w:r>
        <w:rPr>
          <w:rFonts w:ascii="Arial" w:cs="Arial" w:eastAsia="Arial" w:hAnsi="Arial"/>
        </w:rPr>
        <w:t xml:space="preserve">Principles often conflict. A good answer names the conflict, weighs the options and explains why you reach a position, rather than listing the four principles mechanically.</w:t>
      </w:r>
    </w:p>
    <w:p>
      <w:pPr>
        <w:pStyle w:val="Heading2"/>
        <w:keepNext/>
        <w:spacing w:after="100" w:before="240"/>
      </w:pPr>
      <w:r>
        <w:rPr>
          <w:rFonts w:ascii="Arial" w:cs="Arial" w:eastAsia="Arial" w:hAnsi="Arial"/>
        </w:rPr>
        <w:t xml:space="preserve">3.2 Confidentiality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Default:</w:t>
      </w:r>
      <w:r>
        <w:rPr>
          <w:rFonts w:ascii="Arial" w:cs="Arial" w:eastAsia="Arial" w:hAnsi="Arial"/>
        </w:rPr>
        <w:t xml:space="preserve"> patient information is confidential. Duties come from the common law, the GMC's guidance, data-protection law (UK GDPR and the Data Protection Act 2018) and the Caldicott principles for NHS information.</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Sharing with consent</w:t>
      </w:r>
      <w:r>
        <w:rPr>
          <w:rFonts w:ascii="Arial" w:cs="Arial" w:eastAsia="Arial" w:hAnsi="Arial"/>
        </w:rPr>
        <w:t xml:space="preserve"> is the norm, including implied consent for sharing within the direct care team.</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Without consent,</w:t>
      </w:r>
      <w:r>
        <w:rPr>
          <w:rFonts w:ascii="Arial" w:cs="Arial" w:eastAsia="Arial" w:hAnsi="Arial"/>
        </w:rPr>
        <w:t xml:space="preserve"> disclosure can be justified where the law requires it, a court orders it, or there is a public interest in preventing serious harm (for example a risk to others, or a patient who may be unsafe to drive and refuses to stop).</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Process in practice:</w:t>
      </w:r>
      <w:r>
        <w:rPr>
          <w:rFonts w:ascii="Arial" w:cs="Arial" w:eastAsia="Arial" w:hAnsi="Arial"/>
        </w:rPr>
        <w:t xml:space="preserve"> discuss with the patient first where possible, share only the minimum necessary, record your reasoning and seek advice from a senior colleague or Caldicott Guardian.</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Contemporary issues:</w:t>
      </w:r>
      <w:r>
        <w:rPr>
          <w:rFonts w:ascii="Arial" w:cs="Arial" w:eastAsia="Arial" w:hAnsi="Arial"/>
        </w:rPr>
        <w:t xml:space="preserve"> staff snooping on records (recent reports describe NHS staff being suspended for accessing data without a reason), social media, and sharing information with family members.</w:t>
      </w:r>
    </w:p>
    <w:p>
      <w:pPr>
        <w:pStyle w:val="Heading3"/>
        <w:keepNext/>
        <w:spacing w:after="80" w:before="180"/>
      </w:pPr>
      <w:r>
        <w:rPr>
          <w:rFonts w:ascii="Arial" w:cs="Arial" w:eastAsia="Arial" w:hAnsi="Arial"/>
        </w:rPr>
        <w:t xml:space="preserve">Scenario: a friend of yours is a patient</w:t>
      </w:r>
    </w:p>
    <w:p>
      <w:pPr>
        <w:spacing w:after="120" w:line="276"/>
      </w:pPr>
      <w:r>
        <w:rPr>
          <w:rFonts w:ascii="Arial" w:cs="Arial" w:eastAsia="Arial" w:hAnsi="Arial"/>
        </w:rPr>
        <w:t xml:space="preserve">You notice a friend's name on a ward list. Should you look at their notes to see how they are? </w:t>
      </w:r>
      <w:r>
        <w:rPr>
          <w:rFonts w:ascii="Arial" w:cs="Arial" w:eastAsia="Arial" w:hAnsi="Arial"/>
          <w:b/>
          <w:bCs/>
        </w:rPr>
        <w:t xml:space="preserve">Model points:</w:t>
      </w:r>
      <w:r>
        <w:rPr>
          <w:rFonts w:ascii="Arial" w:cs="Arial" w:eastAsia="Arial" w:hAnsi="Arial"/>
        </w:rPr>
        <w:t xml:space="preserve"> No. Access without a care relationship is a breach of confidentiality and trust, and can be a disciplinary and legal matter. Offer support as a friend, let them tell you what they want to share, and if you are worried about their care, raise it through proper channels.</w:t>
      </w:r>
    </w:p>
    <w:p>
      <w:pPr>
        <w:pStyle w:val="Heading2"/>
        <w:keepNext/>
        <w:spacing w:after="100" w:before="240"/>
      </w:pPr>
      <w:r>
        <w:rPr>
          <w:rFonts w:ascii="Arial" w:cs="Arial" w:eastAsia="Arial" w:hAnsi="Arial"/>
        </w:rPr>
        <w:t xml:space="preserve">3.3 Consent</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Valid consent is voluntary, informed and given by a person with capacity.</w:t>
      </w:r>
      <w:r>
        <w:rPr>
          <w:rFonts w:ascii="Arial" w:cs="Arial" w:eastAsia="Arial" w:hAnsi="Arial"/>
        </w:rPr>
        <w:t xml:space="preserve"/>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Capacity</w:t>
      </w:r>
      <w:r>
        <w:rPr>
          <w:rFonts w:ascii="Arial" w:cs="Arial" w:eastAsia="Arial" w:hAnsi="Arial"/>
        </w:rPr>
        <w:t xml:space="preserve"> is assessed under the Mental Capacity Act 2005: can the person understand, retain, weigh and communicate a decision? Capacity is decision-specific and time-specific, and you must assume capacity unless shown otherwise. An unwise decision is not proof of incapacity.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Informed:</w:t>
      </w:r>
      <w:r>
        <w:rPr>
          <w:rFonts w:ascii="Arial" w:cs="Arial" w:eastAsia="Arial" w:hAnsi="Arial"/>
        </w:rPr>
        <w:t xml:space="preserve"> following Montgomery v Lanarkshire Health Board (2015), the patient must be told about any material risks and reasonable alternatives, including doing nothing, in a way they can understand.</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Children:</w:t>
      </w:r>
      <w:r>
        <w:rPr>
          <w:rFonts w:ascii="Arial" w:cs="Arial" w:eastAsia="Arial" w:hAnsi="Arial"/>
        </w:rPr>
        <w:t xml:space="preserve"> Gillick competence and Fraser guidelines allow under-16s who understand the decision to consent in some circumstances. Parental responsibility and best interests also apply.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Without capacity:</w:t>
      </w:r>
      <w:r>
        <w:rPr>
          <w:rFonts w:ascii="Arial" w:cs="Arial" w:eastAsia="Arial" w:hAnsi="Arial"/>
        </w:rPr>
        <w:t xml:space="preserve"> act in the patient's best interests, considering their past wishes, involving those close to them, and using the least restrictive option. Advance decisions and lasting powers of attorney matter.</w:t>
      </w:r>
    </w:p>
    <w:p>
      <w:pPr>
        <w:pStyle w:val="Heading3"/>
        <w:keepNext/>
        <w:spacing w:after="80" w:before="180"/>
      </w:pPr>
      <w:r>
        <w:rPr>
          <w:rFonts w:ascii="Arial" w:cs="Arial" w:eastAsia="Arial" w:hAnsi="Arial"/>
        </w:rPr>
        <w:t xml:space="preserve">Scenario: a patient refuses treatment</w:t>
      </w:r>
    </w:p>
    <w:p>
      <w:pPr>
        <w:spacing w:after="120" w:line="276"/>
      </w:pPr>
      <w:r>
        <w:rPr>
          <w:rFonts w:ascii="Arial" w:cs="Arial" w:eastAsia="Arial" w:hAnsi="Arial"/>
        </w:rPr>
        <w:t xml:space="preserve">A competent adult refuses a blood transfusion for religious reasons. </w:t>
      </w:r>
      <w:r>
        <w:rPr>
          <w:rFonts w:ascii="Arial" w:cs="Arial" w:eastAsia="Arial" w:hAnsi="Arial"/>
          <w:b/>
          <w:bCs/>
        </w:rPr>
        <w:t xml:space="preserve">Model points:</w:t>
      </w:r>
      <w:r>
        <w:rPr>
          <w:rFonts w:ascii="Arial" w:cs="Arial" w:eastAsia="Arial" w:hAnsi="Arial"/>
        </w:rPr>
        <w:t xml:space="preserve"> respect autonomy if capacity is present and the refusal is informed and voluntary; check understanding and that there is no coercion; explore alternatives; document the discussion; involve senior colleagues and the patient's wishes in advance if relevant. Do not impose your own values.</w:t>
      </w:r>
    </w:p>
    <w:p>
      <w:pPr>
        <w:pStyle w:val="Heading2"/>
        <w:keepNext/>
        <w:spacing w:after="100" w:before="240"/>
      </w:pPr>
      <w:r>
        <w:rPr>
          <w:rFonts w:ascii="Arial" w:cs="Arial" w:eastAsia="Arial" w:hAnsi="Arial"/>
        </w:rPr>
        <w:t xml:space="preserve">3.4 Equality of access</w:t>
      </w:r>
    </w:p>
    <w:p>
      <w:pPr>
        <w:pStyle w:val="ListParagraph"/>
        <w:numPr>
          <w:ilvl w:val="0"/>
          <w:numId w:val="2"/>
        </w:numPr>
        <w:spacing w:after="70" w:line="264"/>
      </w:pPr>
      <w:r>
        <w:rPr>
          <w:rFonts w:ascii="Arial" w:cs="Arial" w:eastAsia="Arial" w:hAnsi="Arial"/>
        </w:rPr>
        <w:t xml:space="preserve">The NHS Constitution commits to access based on clinical need, not ability to pay, and the Equality Act 2010 protects against discrimination on protected characteristics.</w:t>
      </w:r>
    </w:p>
    <w:p>
      <w:pPr>
        <w:pStyle w:val="ListParagraph"/>
        <w:numPr>
          <w:ilvl w:val="0"/>
          <w:numId w:val="2"/>
        </w:numPr>
        <w:spacing w:after="70" w:line="264"/>
      </w:pPr>
      <w:r>
        <w:rPr>
          <w:rFonts w:ascii="Arial" w:cs="Arial" w:eastAsia="Arial" w:hAnsi="Arial"/>
        </w:rPr>
        <w:t xml:space="preserve">Barriers include language, disability, digital exclusion, geography, caring responsibilities, fear or mistrust, and lack of fixed address.</w:t>
      </w:r>
    </w:p>
    <w:p>
      <w:pPr>
        <w:pStyle w:val="ListParagraph"/>
        <w:numPr>
          <w:ilvl w:val="0"/>
          <w:numId w:val="2"/>
        </w:numPr>
        <w:spacing w:after="70" w:line="264"/>
      </w:pPr>
      <w:r>
        <w:rPr>
          <w:rFonts w:ascii="Arial" w:cs="Arial" w:eastAsia="Arial" w:hAnsi="Arial"/>
        </w:rPr>
        <w:t xml:space="preserve">Reasonable adjustments, interpreters, and outreach services are practical responses.</w:t>
      </w:r>
    </w:p>
    <w:p>
      <w:pPr>
        <w:pStyle w:val="ListParagraph"/>
        <w:numPr>
          <w:ilvl w:val="0"/>
          <w:numId w:val="2"/>
        </w:numPr>
        <w:spacing w:after="70" w:line="264"/>
      </w:pPr>
      <w:r>
        <w:rPr>
          <w:rFonts w:ascii="Arial" w:cs="Arial" w:eastAsia="Arial" w:hAnsi="Arial"/>
        </w:rPr>
        <w:t xml:space="preserve">Tension to discuss: universal services versus targeted help for those with greater need (proportionate universalism).</w:t>
      </w:r>
    </w:p>
    <w:p>
      <w:pPr>
        <w:pStyle w:val="Heading2"/>
        <w:keepNext/>
        <w:spacing w:after="100" w:before="240"/>
      </w:pPr>
      <w:r>
        <w:rPr>
          <w:rFonts w:ascii="Arial" w:cs="Arial" w:eastAsia="Arial" w:hAnsi="Arial"/>
        </w:rPr>
        <w:t xml:space="preserve">3.5 Resource allocation</w:t>
      </w:r>
    </w:p>
    <w:p>
      <w:pPr>
        <w:pStyle w:val="ListParagraph"/>
        <w:numPr>
          <w:ilvl w:val="0"/>
          <w:numId w:val="2"/>
        </w:numPr>
        <w:spacing w:after="70" w:line="264"/>
      </w:pPr>
      <w:r>
        <w:rPr>
          <w:rFonts w:ascii="Arial" w:cs="Arial" w:eastAsia="Arial" w:hAnsi="Arial"/>
        </w:rPr>
        <w:t xml:space="preserve">Resources are finite, so choices are inevitable: waiting-list prioritisation, which treatments are funded, and which services expand.</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NICE</w:t>
      </w:r>
      <w:r>
        <w:rPr>
          <w:rFonts w:ascii="Arial" w:cs="Arial" w:eastAsia="Arial" w:hAnsi="Arial"/>
        </w:rPr>
        <w:t xml:space="preserve"> assesses clinical and cost-effectiveness, often using the quality-adjusted life year (QALY) with cost-per-QALY thresholds, to advise which treatments the NHS should fund.</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Triage</w:t>
      </w:r>
      <w:r>
        <w:rPr>
          <w:rFonts w:ascii="Arial" w:cs="Arial" w:eastAsia="Arial" w:hAnsi="Arial"/>
        </w:rPr>
        <w:t xml:space="preserve"> orders patients by clinical urgency. Use fair, transparent and consistently applied criteria.</w:t>
      </w:r>
    </w:p>
    <w:p>
      <w:pPr>
        <w:pStyle w:val="ListParagraph"/>
        <w:numPr>
          <w:ilvl w:val="0"/>
          <w:numId w:val="2"/>
        </w:numPr>
        <w:spacing w:after="70" w:line="264"/>
      </w:pPr>
      <w:r>
        <w:rPr>
          <w:rFonts w:ascii="Arial" w:cs="Arial" w:eastAsia="Arial" w:hAnsi="Arial"/>
        </w:rPr>
        <w:t xml:space="preserve">Ethical questions: should age, lifestyle or social worth ever matter (the usual answer is no unless clinically relevant)? How do you balance helping many people a little against a few people a lot? How do you treat identified patients in front of you versus statistical lives?</w:t>
      </w:r>
    </w:p>
    <w:p>
      <w:pPr>
        <w:pStyle w:val="Heading3"/>
        <w:keepNext/>
        <w:spacing w:after="80" w:before="180"/>
      </w:pPr>
      <w:r>
        <w:rPr>
          <w:rFonts w:ascii="Arial" w:cs="Arial" w:eastAsia="Arial" w:hAnsi="Arial"/>
        </w:rPr>
        <w:t xml:space="preserve">Scenario: one bed, two patients</w:t>
      </w:r>
    </w:p>
    <w:p>
      <w:pPr>
        <w:spacing w:after="120" w:line="276"/>
      </w:pPr>
      <w:r>
        <w:rPr>
          <w:rFonts w:ascii="Arial" w:cs="Arial" w:eastAsia="Arial" w:hAnsi="Arial"/>
        </w:rPr>
        <w:t xml:space="preserve">Two patients need the last high-dependency bed. </w:t>
      </w:r>
      <w:r>
        <w:rPr>
          <w:rFonts w:ascii="Arial" w:cs="Arial" w:eastAsia="Arial" w:hAnsi="Arial"/>
          <w:b/>
          <w:bCs/>
        </w:rPr>
        <w:t xml:space="preserve">Model points:</w:t>
      </w:r>
      <w:r>
        <w:rPr>
          <w:rFonts w:ascii="Arial" w:cs="Arial" w:eastAsia="Arial" w:hAnsi="Arial"/>
        </w:rPr>
        <w:t xml:space="preserve"> decide by clinical need and likelihood of benefit using agreed criteria, not by who arrived first, who is better connected or non-clinical characteristics; escalate to a senior clinician; communicate openly with both patients and families; document the decision; and reflect on system-level causes afterwards.</w:t>
      </w:r>
    </w:p>
    <w:p>
      <w:pPr>
        <w:pStyle w:val="Heading2"/>
        <w:keepNext/>
        <w:spacing w:after="100" w:before="240"/>
      </w:pPr>
      <w:r>
        <w:rPr>
          <w:rFonts w:ascii="Arial" w:cs="Arial" w:eastAsia="Arial" w:hAnsi="Arial"/>
        </w:rPr>
        <w:t xml:space="preserve">3.6 Candour, speaking up and professional duty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Duty of candour:</w:t>
      </w:r>
      <w:r>
        <w:rPr>
          <w:rFonts w:ascii="Arial" w:cs="Arial" w:eastAsia="Arial" w:hAnsi="Arial"/>
        </w:rPr>
        <w:t xml:space="preserve"> being open and honest with patients when things go wrong, including apologising, explaining what happened and what will be done.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Speaking up:</w:t>
      </w:r>
      <w:r>
        <w:rPr>
          <w:rFonts w:ascii="Arial" w:cs="Arial" w:eastAsia="Arial" w:hAnsi="Arial"/>
        </w:rPr>
        <w:t xml:space="preserve"> the NHS has Freedom to Speak Up Guardians. Staff are expected to raise concerns about patient safety; the GMC says doctors must act if patients are at risk.</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Just culture:</w:t>
      </w:r>
      <w:r>
        <w:rPr>
          <w:rFonts w:ascii="Arial" w:cs="Arial" w:eastAsia="Arial" w:hAnsi="Arial"/>
        </w:rPr>
        <w:t xml:space="preserve"> learning from errors rather than seeking only to blame, balanced with accountability for serious misconduct.</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Probity:</w:t>
      </w:r>
      <w:r>
        <w:rPr>
          <w:rFonts w:ascii="Arial" w:cs="Arial" w:eastAsia="Arial" w:hAnsi="Arial"/>
        </w:rPr>
        <w:t xml:space="preserve"> honesty in documentation, in applications and in CVs. Expect MMI questions about cheating, copying and exaggeration.</w:t>
      </w:r>
    </w:p>
    <w:p>
      <w:pPr>
        <w:pStyle w:val="Heading3"/>
        <w:keepNext/>
        <w:spacing w:after="80" w:before="180"/>
      </w:pPr>
      <w:r>
        <w:rPr>
          <w:rFonts w:ascii="Arial" w:cs="Arial" w:eastAsia="Arial" w:hAnsi="Arial"/>
        </w:rPr>
        <w:t xml:space="preserve">Scenario: a colleague makes an error</w:t>
      </w:r>
    </w:p>
    <w:p>
      <w:pPr>
        <w:spacing w:after="120" w:line="276"/>
      </w:pPr>
      <w:r>
        <w:rPr>
          <w:rFonts w:ascii="Arial" w:cs="Arial" w:eastAsia="Arial" w:hAnsi="Arial"/>
        </w:rPr>
        <w:t xml:space="preserve">You see a peer give a wrong dose that did not reach the patient. </w:t>
      </w:r>
      <w:r>
        <w:rPr>
          <w:rFonts w:ascii="Arial" w:cs="Arial" w:eastAsia="Arial" w:hAnsi="Arial"/>
          <w:b/>
          <w:bCs/>
        </w:rPr>
        <w:t xml:space="preserve">Model points:</w:t>
      </w:r>
      <w:r>
        <w:rPr>
          <w:rFonts w:ascii="Arial" w:cs="Arial" w:eastAsia="Arial" w:hAnsi="Arial"/>
        </w:rPr>
        <w:t xml:space="preserve"> ensure patient safety first; speak to the colleague supportively; report through the correct channel; explain that near misses are learning opportunities; and recognise your duty to escalate if the issue is repeated or ignored.</w:t>
      </w:r>
    </w:p>
    <w:p>
      <w:pPr>
        <w:pStyle w:val="Heading1"/>
        <w:pageBreakBefore/>
        <w:spacing w:after="160" w:before="240"/>
      </w:pPr>
      <w:r>
        <w:rPr>
          <w:rFonts w:ascii="Arial" w:cs="Arial" w:eastAsia="Arial" w:hAnsi="Arial"/>
        </w:rPr>
        <w:t xml:space="preserve">Part 4: NHS values</w:t>
      </w:r>
    </w:p>
    <w:p>
      <w:pPr>
        <w:pStyle w:val="Heading2"/>
        <w:keepNext/>
        <w:spacing w:after="100" w:before="240"/>
      </w:pPr>
      <w:r>
        <w:rPr>
          <w:rFonts w:ascii="Arial" w:cs="Arial" w:eastAsia="Arial" w:hAnsi="Arial"/>
        </w:rPr>
        <w:t xml:space="preserve">4.1 The NHS Constitution</w:t>
      </w:r>
    </w:p>
    <w:p>
      <w:pPr>
        <w:spacing w:after="120" w:line="276"/>
      </w:pPr>
      <w:r>
        <w:rPr>
          <w:rFonts w:ascii="Arial" w:cs="Arial" w:eastAsia="Arial" w:hAnsi="Arial"/>
        </w:rPr>
        <w:t xml:space="preserve">The NHS Constitution sets out principles, patient rights and staff responsibilities. It lists six core values: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cantSplit/>
          <w:tblHeader/>
        </w:trPr>
        <w:tc>
          <w:tcPr>
            <w:tcW w:type="dxa" w:w="2800"/>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Value</w:t>
            </w:r>
          </w:p>
        </w:tc>
        <w:tc>
          <w:tcPr>
            <w:tcW w:type="dxa" w:w="6838"/>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What it looks like in practice</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Working together for patients</w:t>
            </w:r>
          </w:p>
        </w:tc>
        <w:tc>
          <w:tcPr>
            <w:tcW w:type="dxa" w:w="68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Putting patients first in every decision; collaborating across professions, teams and organisations; handing over safely.</w:t>
            </w:r>
          </w:p>
        </w:tc>
      </w:tr>
      <w:tr>
        <w:trPr>
          <w:cantSplit/>
          <w:tblHeader w:val="false"/>
        </w:trPr>
        <w:tc>
          <w:tcPr>
            <w:tcW w:type="dxa" w:w="28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Respect and dignity</w:t>
            </w:r>
          </w:p>
        </w:tc>
        <w:tc>
          <w:tcPr>
            <w:tcW w:type="dxa" w:w="68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Valuing every person as an individual; listening; protecting privacy; challenging disrespect.</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Commitment to quality of care</w:t>
            </w:r>
          </w:p>
        </w:tc>
        <w:tc>
          <w:tcPr>
            <w:tcW w:type="dxa" w:w="68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Getting the basics right; speaking up about unsafe care; seeking feedback and acting on it.</w:t>
            </w:r>
          </w:p>
        </w:tc>
      </w:tr>
      <w:tr>
        <w:trPr>
          <w:cantSplit/>
          <w:tblHeader w:val="false"/>
        </w:trPr>
        <w:tc>
          <w:tcPr>
            <w:tcW w:type="dxa" w:w="28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Compassion</w:t>
            </w:r>
          </w:p>
        </w:tc>
        <w:tc>
          <w:tcPr>
            <w:tcW w:type="dxa" w:w="68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Responding with kindness and empathy to distress; taking the time to understand the person, not just the problem.</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Improving lives</w:t>
            </w:r>
          </w:p>
        </w:tc>
        <w:tc>
          <w:tcPr>
            <w:tcW w:type="dxa" w:w="68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Prevention, early intervention, research and innovation; looking beyond the immediate treatment to long-term wellbeing.</w:t>
            </w:r>
          </w:p>
        </w:tc>
      </w:tr>
      <w:tr>
        <w:trPr>
          <w:cantSplit/>
          <w:tblHeader w:val="false"/>
        </w:trPr>
        <w:tc>
          <w:tcPr>
            <w:tcW w:type="dxa" w:w="28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Everyone counts</w:t>
            </w:r>
          </w:p>
        </w:tc>
        <w:tc>
          <w:tcPr>
            <w:tcW w:type="dxa" w:w="68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Using limited resources fairly; reducing inequalities; ensuring no one is left behind.</w:t>
            </w:r>
          </w:p>
        </w:tc>
      </w:tr>
    </w:tbl>
    <w:p>
      <w:pPr>
        <w:spacing w:after="120"/>
      </w:pPr>
    </w:p>
    <w:p>
      <w:pPr>
        <w:pStyle w:val="Heading2"/>
        <w:keepNext/>
        <w:spacing w:after="100" w:before="240"/>
      </w:pPr>
      <w:r>
        <w:rPr>
          <w:rFonts w:ascii="Arial" w:cs="Arial" w:eastAsia="Arial" w:hAnsi="Arial"/>
        </w:rPr>
        <w:t xml:space="preserve">4.2 The 6Cs of nursing and care</w:t>
      </w:r>
    </w:p>
    <w:p>
      <w:pPr>
        <w:spacing w:after="120" w:line="276"/>
      </w:pPr>
      <w:r>
        <w:rPr>
          <w:rFonts w:ascii="Arial" w:cs="Arial" w:eastAsia="Arial" w:hAnsi="Arial"/>
        </w:rPr>
        <w:t xml:space="preserve">The 6Cs (care, compassion, competence, communication, courage and commitment) were introduced for nursing, midwifery and care staff and are widely used across the NHS. Many interviewers expect candidates to know them. Courage is particularly relevant: speaking up and doing the right thing even when it is uncomfortable.</w:t>
      </w:r>
    </w:p>
    <w:p>
      <w:pPr>
        <w:pStyle w:val="Heading2"/>
        <w:keepNext/>
        <w:spacing w:after="100" w:before="240"/>
      </w:pPr>
      <w:r>
        <w:rPr>
          <w:rFonts w:ascii="Arial" w:cs="Arial" w:eastAsia="Arial" w:hAnsi="Arial"/>
        </w:rPr>
        <w:t xml:space="preserve">4.3 Why values matter: Mid Staffordshire</w:t>
      </w:r>
    </w:p>
    <w:p>
      <w:pPr>
        <w:spacing w:after="120" w:line="276"/>
      </w:pPr>
      <w:r>
        <w:rPr>
          <w:rFonts w:ascii="Arial" w:cs="Arial" w:eastAsia="Arial" w:hAnsi="Arial"/>
        </w:rPr>
        <w:t xml:space="preserve">At Mid Staffordshire NHS Foundation Trust in the late 2000s, patients experienced very poor care and many suffered avoidable harm. The Francis Inquiry (2013) found a culture focused on targets and finances at the expense of patients, with poor leadership, staff who felt unable to speak up and a failure to listen to complaints. It led to reforms including a statutory duty of candour and stronger emphasis on safe staffing and whistleblowing. Referring briefly to this shows you understand that values are not decoration, but protect patients.</w:t>
      </w:r>
    </w:p>
    <w:p>
      <w:pPr>
        <w:pStyle w:val="Heading2"/>
        <w:keepNext/>
        <w:spacing w:after="100" w:before="240"/>
      </w:pPr>
      <w:r>
        <w:rPr>
          <w:rFonts w:ascii="Arial" w:cs="Arial" w:eastAsia="Arial" w:hAnsi="Arial"/>
        </w:rPr>
        <w:t xml:space="preserve">4.4 Turning values into behaviours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rPr>
          <w:cantSplit/>
          <w:tblHeader/>
        </w:trPr>
        <w:tc>
          <w:tcPr>
            <w:tcW w:type="dxa" w:w="2300"/>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Situation</w:t>
            </w:r>
          </w:p>
        </w:tc>
        <w:tc>
          <w:tcPr>
            <w:tcW w:type="dxa" w:w="7338"/>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Value-based behaviour to describe</w:t>
            </w:r>
          </w:p>
        </w:tc>
      </w:tr>
      <w:tr>
        <w:trPr>
          <w:cantSplit/>
          <w:tblHeader w:val="false"/>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 patient is anxious and keeps asking the same question</w:t>
            </w:r>
          </w:p>
        </w:tc>
        <w:tc>
          <w:tcPr>
            <w:tcW w:type="dxa" w:w="73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Stay patient, check what they are worried about, explain in plain language, and offer written information. (Compassion, respect)</w:t>
            </w:r>
          </w:p>
        </w:tc>
      </w:tr>
      <w:tr>
        <w:trPr>
          <w:cantSplit/>
          <w:tblHeader w:val="false"/>
        </w:trPr>
        <w:tc>
          <w:tcPr>
            <w:tcW w:type="dxa" w:w="23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A long delay in clinic</w:t>
            </w:r>
          </w:p>
        </w:tc>
        <w:tc>
          <w:tcPr>
            <w:tcW w:type="dxa" w:w="73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Tell patients about the delay, apologise, give an estimate and update regularly. (Respect, quality)</w:t>
            </w:r>
          </w:p>
        </w:tc>
      </w:tr>
      <w:tr>
        <w:trPr>
          <w:cantSplit/>
          <w:tblHeader w:val="false"/>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 team member is overwhelmed</w:t>
            </w:r>
          </w:p>
        </w:tc>
        <w:tc>
          <w:tcPr>
            <w:tcW w:type="dxa" w:w="73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Offer help, share tasks and encourage them to speak to a supervisor. (Working together)</w:t>
            </w:r>
          </w:p>
        </w:tc>
      </w:tr>
      <w:tr>
        <w:trPr>
          <w:cantSplit/>
          <w:tblHeader w:val="false"/>
        </w:trPr>
        <w:tc>
          <w:tcPr>
            <w:tcW w:type="dxa" w:w="23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You see unsafe practice</w:t>
            </w:r>
          </w:p>
        </w:tc>
        <w:tc>
          <w:tcPr>
            <w:tcW w:type="dxa" w:w="73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Raise it promptly using the proper route; protect the patient; do not stay silent. (Quality, courage)</w:t>
            </w:r>
          </w:p>
        </w:tc>
      </w:tr>
      <w:tr>
        <w:trPr>
          <w:cantSplit/>
          <w:tblHeader w:val="false"/>
        </w:trPr>
        <w:tc>
          <w:tcPr>
            <w:tcW w:type="dxa" w:w="23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 patient with limited English attends</w:t>
            </w:r>
          </w:p>
        </w:tc>
        <w:tc>
          <w:tcPr>
            <w:tcW w:type="dxa" w:w="73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Use a professional interpreter rather than a family member where possible. (Everyone counts, respect)</w:t>
            </w:r>
          </w:p>
        </w:tc>
      </w:tr>
      <w:tr>
        <w:trPr>
          <w:cantSplit/>
          <w:tblHeader w:val="false"/>
        </w:trPr>
        <w:tc>
          <w:tcPr>
            <w:tcW w:type="dxa" w:w="23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Pressure to cut corners to hit a target</w:t>
            </w:r>
          </w:p>
        </w:tc>
        <w:tc>
          <w:tcPr>
            <w:tcW w:type="dxa" w:w="73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Do not compromise safety; explain the risks to the team; escalate. (Quality, working together)</w:t>
            </w:r>
          </w:p>
        </w:tc>
      </w:tr>
    </w:tbl>
    <w:p>
      <w:pPr>
        <w:spacing w:after="120"/>
      </w:pPr>
    </w:p>
    <w:p>
      <w:pPr>
        <w:shd w:fill="FFF4D6" w:color="auto" w:val="clear"/>
        <w:spacing w:after="120" w:line="276"/>
      </w:pPr>
      <w:r>
        <w:rPr>
          <w:rFonts w:ascii="Arial" w:cs="Arial" w:eastAsia="Arial" w:hAnsi="Arial"/>
          <w:i w:val="false"/>
          <w:iCs w:val="false"/>
          <w:sz w:val="20"/>
          <w:szCs w:val="20"/>
        </w:rPr>
        <w:t xml:space="preserve"/>
      </w:r>
      <w:r>
        <w:rPr>
          <w:rFonts w:ascii="Arial" w:cs="Arial" w:eastAsia="Arial" w:hAnsi="Arial"/>
          <w:b/>
          <w:bCs/>
          <w:i w:val="false"/>
          <w:iCs w:val="false"/>
          <w:sz w:val="20"/>
          <w:szCs w:val="20"/>
        </w:rPr>
        <w:t xml:space="preserve">Tip:</w:t>
      </w:r>
      <w:r>
        <w:rPr>
          <w:rFonts w:ascii="Arial" w:cs="Arial" w:eastAsia="Arial" w:hAnsi="Arial"/>
          <w:i w:val="false"/>
          <w:iCs w:val="false"/>
          <w:sz w:val="20"/>
          <w:szCs w:val="20"/>
        </w:rPr>
        <w:t xml:space="preserve"> do not simply recite the values. Show a short story (the situation, your action and the reflection) that demonstrates one or two of them. Authentic examples from work experience, volunteering or caring roles are stronger than abstract statements.</w:t>
      </w:r>
    </w:p>
    <w:p>
      <w:pPr>
        <w:pStyle w:val="Heading1"/>
        <w:pageBreakBefore/>
        <w:spacing w:after="160" w:before="240"/>
      </w:pPr>
      <w:r>
        <w:rPr>
          <w:rFonts w:ascii="Arial" w:cs="Arial" w:eastAsia="Arial" w:hAnsi="Arial"/>
        </w:rPr>
        <w:t xml:space="preserve">Part 5: Healthcare policy</w:t>
      </w:r>
    </w:p>
    <w:p>
      <w:pPr>
        <w:pStyle w:val="Heading2"/>
        <w:keepNext/>
        <w:spacing w:after="100" w:before="240"/>
      </w:pPr>
      <w:r>
        <w:rPr>
          <w:rFonts w:ascii="Arial" w:cs="Arial" w:eastAsia="Arial" w:hAnsi="Arial"/>
        </w:rPr>
        <w:t xml:space="preserve">5.1 The 10 Year Health Plan for England</w:t>
      </w:r>
    </w:p>
    <w:p>
      <w:pPr>
        <w:spacing w:after="120" w:line="276"/>
      </w:pPr>
      <w:r>
        <w:rPr>
          <w:rFonts w:ascii="Arial" w:cs="Arial" w:eastAsia="Arial" w:hAnsi="Arial"/>
        </w:rPr>
        <w:t xml:space="preserve">The government published "Fit for the Future: the 10 Year Health Plan for England" on 3 July 2025. It followed Lord Darzi's independent investigation into the NHS and the Change NHS public engagement exercise, which drew more than 220,000 contributions according to NHS England. It is built around three shifts: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blHeader/>
        </w:trPr>
        <w:tc>
          <w:tcPr>
            <w:tcW w:type="dxa" w:w="2600"/>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Shift</w:t>
            </w:r>
          </w:p>
        </w:tc>
        <w:tc>
          <w:tcPr>
            <w:tcW w:type="dxa" w:w="7038"/>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Main commitments reported</w:t>
            </w:r>
          </w:p>
        </w:tc>
      </w:tr>
      <w:tr>
        <w:trPr>
          <w:cantSplit/>
          <w:tblHeader w:val="false"/>
        </w:trPr>
        <w:tc>
          <w:tcPr>
            <w:tcW w:type="dxa" w:w="2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Hospital to community</w:t>
            </w:r>
          </w:p>
        </w:tc>
        <w:tc>
          <w:tcPr>
            <w:tcW w:type="dxa" w:w="70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 neighbourhood health service with GP-led, multidisciplinary neighbourhood teams; neighbourhood health centres in communities (reported as open at least 12 hours a day, six days a week, bringing together NHS, council and voluntary services); better access to dentistry and expanded pharmacy services; the aim of a falling share of spending going to hospital care.</w:t>
            </w:r>
          </w:p>
        </w:tc>
      </w:tr>
      <w:tr>
        <w:trPr>
          <w:cantSplit/>
          <w:tblHeader w:val="false"/>
        </w:trPr>
        <w:tc>
          <w:tcPr>
            <w:tcW w:type="dxa" w:w="26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Analogue to digital</w:t>
            </w:r>
          </w:p>
        </w:tc>
        <w:tc>
          <w:tcPr>
            <w:tcW w:type="dxa" w:w="70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The NHS App as the "front door" to the NHS by 2028, including booking, repeat prescriptions, test results, self-referral for services such as mental health, audiology, podiatry and musculoskeletal care, and feedback on care; a single patient record; more use of data and AI.</w:t>
            </w:r>
          </w:p>
        </w:tc>
      </w:tr>
      <w:tr>
        <w:trPr>
          <w:cantSplit/>
          <w:tblHeader w:val="false"/>
        </w:trPr>
        <w:tc>
          <w:tcPr>
            <w:tcW w:type="dxa" w:w="26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Sickness to prevention</w:t>
            </w:r>
          </w:p>
        </w:tc>
        <w:tc>
          <w:tcPr>
            <w:tcW w:type="dxa" w:w="70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Greater focus on early detection and prevention, including genomics (for example newborn screening), action on smoking, vaping and obesity, mental health support in schools and an incentive scheme to encourage physical activity.</w:t>
            </w:r>
          </w:p>
        </w:tc>
      </w:tr>
    </w:tbl>
    <w:p>
      <w:pPr>
        <w:spacing w:after="120"/>
      </w:pPr>
    </w:p>
    <w:p>
      <w:pPr>
        <w:pStyle w:val="Heading3"/>
        <w:keepNext/>
        <w:spacing w:after="80" w:before="180"/>
      </w:pPr>
      <w:r>
        <w:rPr>
          <w:rFonts w:ascii="Arial" w:cs="Arial" w:eastAsia="Arial" w:hAnsi="Arial"/>
        </w:rPr>
        <w:t xml:space="preserve">Other features of the plan</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Patient power and transparency:</w:t>
      </w:r>
      <w:r>
        <w:rPr>
          <w:rFonts w:ascii="Arial" w:cs="Arial" w:eastAsia="Arial" w:hAnsi="Arial"/>
        </w:rPr>
        <w:t xml:space="preserve"> publication of provider league tables against quality indicators, greater patient choice and more say in care.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Operating model:</w:t>
      </w:r>
      <w:r>
        <w:rPr>
          <w:rFonts w:ascii="Arial" w:cs="Arial" w:eastAsia="Arial" w:hAnsi="Arial"/>
        </w:rPr>
        <w:t xml:space="preserve"> ICBs to act as strategic commissioners; more autonomy for high-performing trusts; neighbourhood providers covering around 50,000 people and multi-neighbourhood providers of 250,000 or more.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Financial reform:</w:t>
      </w:r>
      <w:r>
        <w:rPr>
          <w:rFonts w:ascii="Arial" w:cs="Arial" w:eastAsia="Arial" w:hAnsi="Arial"/>
        </w:rPr>
        <w:t xml:space="preserve"> efficiency and productivity expectations, and changes to how money flows to reward prevention and community care.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Workforce:</w:t>
      </w:r>
      <w:r>
        <w:rPr>
          <w:rFonts w:ascii="Arial" w:cs="Arial" w:eastAsia="Arial" w:hAnsi="Arial"/>
        </w:rPr>
        <w:t xml:space="preserve"> a revised workforce plan, more GPs and a commitment to extra training places. Critics, including the BMA, say the number of additional specialty training places is far smaller than demand.</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Reception:</w:t>
      </w:r>
      <w:r>
        <w:rPr>
          <w:rFonts w:ascii="Arial" w:cs="Arial" w:eastAsia="Arial" w:hAnsi="Arial"/>
        </w:rPr>
        <w:t xml:space="preserve"> expert bodies broadly welcomed the direction of travel and the diagnosis of the problems, while stressing that delivery, funding and workforce are the real tests.</w:t>
      </w:r>
    </w:p>
    <w:p>
      <w:pPr>
        <w:pStyle w:val="Heading2"/>
        <w:keepNext/>
        <w:spacing w:after="100" w:before="240"/>
      </w:pPr>
      <w:r>
        <w:rPr>
          <w:rFonts w:ascii="Arial" w:cs="Arial" w:eastAsia="Arial" w:hAnsi="Arial"/>
        </w:rPr>
        <w:t xml:space="preserve">5.2 Structural reform</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Health and Care Act 2022:</w:t>
      </w:r>
      <w:r>
        <w:rPr>
          <w:rFonts w:ascii="Arial" w:cs="Arial" w:eastAsia="Arial" w:hAnsi="Arial"/>
        </w:rPr>
        <w:t xml:space="preserve"> put integrated care systems on a statutory footing and created ICBs.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NHS England and DHSC:</w:t>
      </w:r>
      <w:r>
        <w:rPr>
          <w:rFonts w:ascii="Arial" w:cs="Arial" w:eastAsia="Arial" w:hAnsi="Arial"/>
        </w:rPr>
        <w:t xml:space="preserve"> a decision to abolish NHS England as a separate body and fold its functions into DHSC was announced in 2025, aiming to reduce duplication and administrative cost. Check current status.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Regional and league-table accountability</w:t>
      </w:r>
      <w:r>
        <w:rPr>
          <w:rFonts w:ascii="Arial" w:cs="Arial" w:eastAsia="Arial" w:hAnsi="Arial"/>
        </w:rPr>
        <w:t xml:space="preserve"> for providers are intended to drive improvement.</w:t>
      </w:r>
    </w:p>
    <w:p>
      <w:pPr>
        <w:pStyle w:val="Heading2"/>
        <w:keepNext/>
        <w:spacing w:after="100" w:before="240"/>
      </w:pPr>
      <w:r>
        <w:rPr>
          <w:rFonts w:ascii="Arial" w:cs="Arial" w:eastAsia="Arial" w:hAnsi="Arial"/>
        </w:rPr>
        <w:t xml:space="preserve">5.3 Public health campaigns and prevention</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Vaccination:</w:t>
      </w:r>
      <w:r>
        <w:rPr>
          <w:rFonts w:ascii="Arial" w:cs="Arial" w:eastAsia="Arial" w:hAnsi="Arial"/>
        </w:rPr>
        <w:t xml:space="preserve"> routine childhood immunisation, HPV, annual flu and seasonal COVID campaigns. Key issue: uptake, misinformation and inequalities in coverage.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Screening:</w:t>
      </w:r>
      <w:r>
        <w:rPr>
          <w:rFonts w:ascii="Arial" w:cs="Arial" w:eastAsia="Arial" w:hAnsi="Arial"/>
        </w:rPr>
        <w:t xml:space="preserve"> cancer screening (breast, cervical, bowel) and newer programmes such as lung health checks. Key issue: balancing benefits with risks of over-diagnosis.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Tobacco and vaping:</w:t>
      </w:r>
      <w:r>
        <w:rPr>
          <w:rFonts w:ascii="Arial" w:cs="Arial" w:eastAsia="Arial" w:hAnsi="Arial"/>
        </w:rPr>
        <w:t xml:space="preserve"> the smoking ban in public places (2007), plus current legislation and policy aimed at reducing smoking and youth vaping. Check the current legislative status before citing.</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Obesity and nutrition:</w:t>
      </w:r>
      <w:r>
        <w:rPr>
          <w:rFonts w:ascii="Arial" w:cs="Arial" w:eastAsia="Arial" w:hAnsi="Arial"/>
        </w:rPr>
        <w:t xml:space="preserve"> the Soft Drinks Industry Levy, calorie labelling and restrictions on junk-food marketing. Check the current implementation of any specific measure.</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NHS Health Check</w:t>
      </w:r>
      <w:r>
        <w:rPr>
          <w:rFonts w:ascii="Arial" w:cs="Arial" w:eastAsia="Arial" w:hAnsi="Arial"/>
        </w:rPr>
        <w:t xml:space="preserve"> and national campaigns on mental health, alcohol and physical activity.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Ethical tension to discuss:</w:t>
      </w:r>
      <w:r>
        <w:rPr>
          <w:rFonts w:ascii="Arial" w:cs="Arial" w:eastAsia="Arial" w:hAnsi="Arial"/>
        </w:rPr>
        <w:t xml:space="preserve"> population-level nudges and regulation versus individual liberty (the "nanny state" debate); how to avoid stigmatising people.</w:t>
      </w:r>
    </w:p>
    <w:p>
      <w:pPr>
        <w:pStyle w:val="Heading2"/>
        <w:keepNext/>
        <w:spacing w:after="100" w:before="240"/>
      </w:pPr>
      <w:r>
        <w:rPr>
          <w:rFonts w:ascii="Arial" w:cs="Arial" w:eastAsia="Arial" w:hAnsi="Arial"/>
        </w:rPr>
        <w:t xml:space="preserve">5.4 How to evaluate any health policy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0"/>
        <w:gridCol w:w="7138"/>
      </w:tblGrid>
      <w:tr>
        <w:trPr>
          <w:cantSplit/>
          <w:tblHeader/>
        </w:trPr>
        <w:tc>
          <w:tcPr>
            <w:tcW w:type="dxa" w:w="2500"/>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Question</w:t>
            </w:r>
          </w:p>
        </w:tc>
        <w:tc>
          <w:tcPr>
            <w:tcW w:type="dxa" w:w="7138"/>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What to consider</w:t>
            </w:r>
          </w:p>
        </w:tc>
      </w:tr>
      <w:tr>
        <w:trPr>
          <w:cantSplit/>
          <w:tblHeader w:val="false"/>
        </w:trPr>
        <w:tc>
          <w:tcPr>
            <w:tcW w:type="dxa" w:w="25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What problem does it solve?</w:t>
            </w:r>
          </w:p>
        </w:tc>
        <w:tc>
          <w:tcPr>
            <w:tcW w:type="dxa" w:w="71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Is there evidence of need? Who is affected?</w:t>
            </w:r>
          </w:p>
        </w:tc>
      </w:tr>
      <w:tr>
        <w:trPr>
          <w:cantSplit/>
          <w:tblHeader w:val="false"/>
        </w:trPr>
        <w:tc>
          <w:tcPr>
            <w:tcW w:type="dxa" w:w="25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Does the evidence show it works?</w:t>
            </w:r>
          </w:p>
        </w:tc>
        <w:tc>
          <w:tcPr>
            <w:tcW w:type="dxa" w:w="71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Pilot results, international evidence, cost-effectiveness.</w:t>
            </w:r>
          </w:p>
        </w:tc>
      </w:tr>
      <w:tr>
        <w:trPr>
          <w:cantSplit/>
          <w:tblHeader w:val="false"/>
        </w:trPr>
        <w:tc>
          <w:tcPr>
            <w:tcW w:type="dxa" w:w="25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Who benefits and who might lose out?</w:t>
            </w:r>
          </w:p>
        </w:tc>
        <w:tc>
          <w:tcPr>
            <w:tcW w:type="dxa" w:w="71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Equity, digital exclusion, rural versus urban, vulnerable groups.</w:t>
            </w:r>
          </w:p>
        </w:tc>
      </w:tr>
      <w:tr>
        <w:trPr>
          <w:cantSplit/>
          <w:tblHeader w:val="false"/>
        </w:trPr>
        <w:tc>
          <w:tcPr>
            <w:tcW w:type="dxa" w:w="25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Is it affordable and deliverable?</w:t>
            </w:r>
          </w:p>
        </w:tc>
        <w:tc>
          <w:tcPr>
            <w:tcW w:type="dxa" w:w="71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Funding, workforce, time, infrastructure, IT.</w:t>
            </w:r>
          </w:p>
        </w:tc>
      </w:tr>
      <w:tr>
        <w:trPr>
          <w:cantSplit/>
          <w:tblHeader w:val="false"/>
        </w:trPr>
        <w:tc>
          <w:tcPr>
            <w:tcW w:type="dxa" w:w="25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What are the ethical trade-offs?</w:t>
            </w:r>
          </w:p>
        </w:tc>
        <w:tc>
          <w:tcPr>
            <w:tcW w:type="dxa" w:w="71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Autonomy versus public good, fairness, privacy.</w:t>
            </w:r>
          </w:p>
        </w:tc>
      </w:tr>
      <w:tr>
        <w:trPr>
          <w:cantSplit/>
          <w:tblHeader w:val="false"/>
        </w:trPr>
        <w:tc>
          <w:tcPr>
            <w:tcW w:type="dxa" w:w="25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How would success be measured?</w:t>
            </w:r>
          </w:p>
        </w:tc>
        <w:tc>
          <w:tcPr>
            <w:tcW w:type="dxa" w:w="71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Outcomes, patient experience, waiting times, cost.</w:t>
            </w:r>
          </w:p>
        </w:tc>
      </w:tr>
    </w:tbl>
    <w:p>
      <w:pPr>
        <w:spacing w:after="120"/>
      </w:pPr>
    </w:p>
    <w:p>
      <w:pPr>
        <w:spacing w:after="120" w:line="276"/>
      </w:pPr>
      <w:r>
        <w:rPr>
          <w:rFonts w:ascii="Arial" w:cs="Arial" w:eastAsia="Arial" w:hAnsi="Arial"/>
        </w:rPr>
        <w:t xml:space="preserve">Using these six questions gives structure to any open-ended "What do you think about X policy?" station and keeps you away from political opinion.</w:t>
      </w:r>
    </w:p>
    <w:p>
      <w:pPr>
        <w:pStyle w:val="Heading1"/>
        <w:pageBreakBefore/>
        <w:spacing w:after="160" w:before="240"/>
      </w:pPr>
      <w:r>
        <w:rPr>
          <w:rFonts w:ascii="Arial" w:cs="Arial" w:eastAsia="Arial" w:hAnsi="Arial"/>
        </w:rPr>
        <w:t xml:space="preserve">Part 6: MMI toolkit</w:t>
      </w:r>
    </w:p>
    <w:p>
      <w:pPr>
        <w:pStyle w:val="Heading2"/>
        <w:keepNext/>
        <w:spacing w:after="100" w:before="240"/>
      </w:pPr>
      <w:r>
        <w:rPr>
          <w:rFonts w:ascii="Arial" w:cs="Arial" w:eastAsia="Arial" w:hAnsi="Arial"/>
        </w:rPr>
        <w:t xml:space="preserve">6.1 A flexible answer framework</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Clarify:</w:t>
      </w:r>
      <w:r>
        <w:rPr>
          <w:rFonts w:ascii="Arial" w:cs="Arial" w:eastAsia="Arial" w:hAnsi="Arial"/>
        </w:rPr>
        <w:t xml:space="preserve"> restate the issue in a sentence and note any missing facts.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Identify the stakeholders:</w:t>
      </w:r>
      <w:r>
        <w:rPr>
          <w:rFonts w:ascii="Arial" w:cs="Arial" w:eastAsia="Arial" w:hAnsi="Arial"/>
        </w:rPr>
        <w:t xml:space="preserve"> patient, family, staff, other patients, the wider system.</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Name the principles in tension:</w:t>
      </w:r>
      <w:r>
        <w:rPr>
          <w:rFonts w:ascii="Arial" w:cs="Arial" w:eastAsia="Arial" w:hAnsi="Arial"/>
        </w:rPr>
        <w:t xml:space="preserve"> autonomy, confidentiality, justice, safety.</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Weigh the options:</w:t>
      </w:r>
      <w:r>
        <w:rPr>
          <w:rFonts w:ascii="Arial" w:cs="Arial" w:eastAsia="Arial" w:hAnsi="Arial"/>
        </w:rPr>
        <w:t xml:space="preserve"> two or three realistic courses of action with pros and cons.</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Decide and justify:</w:t>
      </w:r>
      <w:r>
        <w:rPr>
          <w:rFonts w:ascii="Arial" w:cs="Arial" w:eastAsia="Arial" w:hAnsi="Arial"/>
        </w:rPr>
        <w:t xml:space="preserve"> state what you would do first and why, and what you would do next.</w:t>
      </w:r>
    </w:p>
    <w:p>
      <w:pPr>
        <w:pStyle w:val="ListParagraph"/>
        <w:numPr>
          <w:ilvl w:val="0"/>
          <w:numId w:val="2"/>
        </w:numPr>
        <w:spacing w:after="70" w:line="264"/>
      </w:pPr>
      <w:r>
        <w:rPr>
          <w:rFonts w:ascii="Arial" w:cs="Arial" w:eastAsia="Arial" w:hAnsi="Arial"/>
        </w:rPr>
        <w:t xml:space="preserve"/>
      </w:r>
      <w:r>
        <w:rPr>
          <w:rFonts w:ascii="Arial" w:cs="Arial" w:eastAsia="Arial" w:hAnsi="Arial"/>
          <w:b/>
          <w:bCs/>
        </w:rPr>
        <w:t xml:space="preserve">Reflect:</w:t>
      </w:r>
      <w:r>
        <w:rPr>
          <w:rFonts w:ascii="Arial" w:cs="Arial" w:eastAsia="Arial" w:hAnsi="Arial"/>
        </w:rPr>
        <w:t xml:space="preserve"> what you would learn, how you would prevent a repeat, and what you do not know.</w:t>
      </w:r>
    </w:p>
    <w:p>
      <w:pPr>
        <w:pStyle w:val="Heading2"/>
        <w:keepNext/>
        <w:spacing w:after="100" w:before="240"/>
      </w:pPr>
      <w:r>
        <w:rPr>
          <w:rFonts w:ascii="Arial" w:cs="Arial" w:eastAsia="Arial" w:hAnsi="Arial"/>
        </w:rPr>
        <w:t xml:space="preserve">6.2 Language to use and avoid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blHeader/>
        </w:trPr>
        <w:tc>
          <w:tcPr>
            <w:tcW w:type="dxa" w:w="4819"/>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Helpful</w:t>
            </w:r>
          </w:p>
        </w:tc>
        <w:tc>
          <w:tcPr>
            <w:tcW w:type="dxa" w:w="4819"/>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Unhelpful</w:t>
            </w:r>
          </w:p>
        </w:tc>
      </w:tr>
      <w:tr>
        <w:trPr>
          <w:cantSplit/>
          <w:tblHeader w:val="false"/>
        </w:trPr>
        <w:tc>
          <w:tcPr>
            <w:tcW w:type="dxa" w:w="4819"/>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"It depends on... and my first step would be to..."</w:t>
            </w:r>
          </w:p>
        </w:tc>
        <w:tc>
          <w:tcPr>
            <w:tcW w:type="dxa" w:w="4819"/>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"The NHS is broken" or other blanket claims</w:t>
            </w:r>
          </w:p>
        </w:tc>
      </w:tr>
      <w:tr>
        <w:trPr>
          <w:cantSplit/>
          <w:tblHeader w:val="false"/>
        </w:trPr>
        <w:tc>
          <w:tcPr>
            <w:tcW w:type="dxa" w:w="4819"/>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"I would speak to a senior colleague"</w:t>
            </w:r>
          </w:p>
        </w:tc>
        <w:tc>
          <w:tcPr>
            <w:tcW w:type="dxa" w:w="4819"/>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"I would just handle it myself" when out of depth</w:t>
            </w:r>
          </w:p>
        </w:tc>
      </w:tr>
      <w:tr>
        <w:trPr>
          <w:cantSplit/>
          <w:tblHeader w:val="false"/>
        </w:trPr>
        <w:tc>
          <w:tcPr>
            <w:tcW w:type="dxa" w:w="4819"/>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"Around 7 million people are on the waiting list"</w:t>
            </w:r>
          </w:p>
        </w:tc>
        <w:tc>
          <w:tcPr>
            <w:tcW w:type="dxa" w:w="4819"/>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Quoting exact numbers you are unsure about</w:t>
            </w:r>
          </w:p>
        </w:tc>
      </w:tr>
      <w:tr>
        <w:trPr>
          <w:cantSplit/>
          <w:tblHeader w:val="false"/>
        </w:trPr>
        <w:tc>
          <w:tcPr>
            <w:tcW w:type="dxa" w:w="4819"/>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"Both options have merit because..."</w:t>
            </w:r>
          </w:p>
        </w:tc>
        <w:tc>
          <w:tcPr>
            <w:tcW w:type="dxa" w:w="4819"/>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Taking a party-political side</w:t>
            </w:r>
          </w:p>
        </w:tc>
      </w:tr>
      <w:tr>
        <w:trPr>
          <w:cantSplit/>
          <w:tblHeader w:val="false"/>
        </w:trPr>
        <w:tc>
          <w:tcPr>
            <w:tcW w:type="dxa" w:w="4819"/>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"I would explain it to the patient in plain language"</w:t>
            </w:r>
          </w:p>
        </w:tc>
        <w:tc>
          <w:tcPr>
            <w:tcW w:type="dxa" w:w="4819"/>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Medical jargon or paternalistic tone</w:t>
            </w:r>
          </w:p>
        </w:tc>
      </w:tr>
    </w:tbl>
    <w:p>
      <w:pPr>
        <w:spacing w:after="120"/>
      </w:pPr>
    </w:p>
    <w:p>
      <w:pPr>
        <w:pStyle w:val="Heading2"/>
        <w:keepNext/>
        <w:spacing w:after="100" w:before="240"/>
      </w:pPr>
      <w:r>
        <w:rPr>
          <w:rFonts w:ascii="Arial" w:cs="Arial" w:eastAsia="Arial" w:hAnsi="Arial"/>
        </w:rPr>
        <w:t xml:space="preserve">6.3 Ten practice stations</w:t>
      </w:r>
    </w:p>
    <w:p>
      <w:pPr>
        <w:pStyle w:val="Heading3"/>
        <w:keepNext/>
        <w:spacing w:after="80" w:before="180"/>
      </w:pPr>
      <w:r>
        <w:rPr>
          <w:rFonts w:ascii="Arial" w:cs="Arial" w:eastAsia="Arial" w:hAnsi="Arial"/>
        </w:rPr>
        <w:t xml:space="preserve">Station 1: Waiting list priorities</w:t>
      </w:r>
    </w:p>
    <w:p>
      <w:pPr>
        <w:spacing w:after="120" w:line="276"/>
      </w:pPr>
      <w:r>
        <w:rPr>
          <w:rFonts w:ascii="Arial" w:cs="Arial" w:eastAsia="Arial" w:hAnsi="Arial"/>
        </w:rPr>
        <w:t xml:space="preserve"/>
      </w:r>
      <w:r>
        <w:rPr>
          <w:rFonts w:ascii="Arial" w:cs="Arial" w:eastAsia="Arial" w:hAnsi="Arial"/>
          <w:b/>
          <w:bCs/>
        </w:rPr>
        <w:t xml:space="preserve">Points to cover:</w:t>
      </w:r>
      <w:r>
        <w:rPr>
          <w:rFonts w:ascii="Arial" w:cs="Arial" w:eastAsia="Arial" w:hAnsi="Arial"/>
        </w:rPr>
        <w:t xml:space="preserve"> Clinical urgency and risk of deterioration first; fairness and transparency; avoid queue-jumping and non-clinical factors; consider time already waited; communicate with those who must wait; review the list regularly and look for system causes.</w:t>
      </w:r>
    </w:p>
    <w:p>
      <w:pPr>
        <w:pStyle w:val="Heading3"/>
        <w:keepNext/>
        <w:spacing w:after="80" w:before="180"/>
      </w:pPr>
      <w:r>
        <w:rPr>
          <w:rFonts w:ascii="Arial" w:cs="Arial" w:eastAsia="Arial" w:hAnsi="Arial"/>
        </w:rPr>
        <w:t xml:space="preserve">Station 2: Corridor care</w:t>
      </w:r>
    </w:p>
    <w:p>
      <w:pPr>
        <w:spacing w:after="120" w:line="276"/>
      </w:pPr>
      <w:r>
        <w:rPr>
          <w:rFonts w:ascii="Arial" w:cs="Arial" w:eastAsia="Arial" w:hAnsi="Arial"/>
        </w:rPr>
        <w:t xml:space="preserve"/>
      </w:r>
      <w:r>
        <w:rPr>
          <w:rFonts w:ascii="Arial" w:cs="Arial" w:eastAsia="Arial" w:hAnsi="Arial"/>
          <w:b/>
          <w:bCs/>
        </w:rPr>
        <w:t xml:space="preserve">Prompt:</w:t>
      </w:r>
      <w:r>
        <w:rPr>
          <w:rFonts w:ascii="Arial" w:cs="Arial" w:eastAsia="Arial" w:hAnsi="Arial"/>
        </w:rPr>
        <w:t xml:space="preserve"> A patient in a hospital corridor asks you to pull the curtain and stop people staring. What would you do and what does this say about the NHS?</w:t>
      </w:r>
    </w:p>
    <w:p>
      <w:pPr>
        <w:spacing w:after="120" w:line="276"/>
      </w:pPr>
      <w:r>
        <w:rPr>
          <w:rFonts w:ascii="Arial" w:cs="Arial" w:eastAsia="Arial" w:hAnsi="Arial"/>
        </w:rPr>
        <w:t xml:space="preserve"/>
      </w:r>
      <w:r>
        <w:rPr>
          <w:rFonts w:ascii="Arial" w:cs="Arial" w:eastAsia="Arial" w:hAnsi="Arial"/>
          <w:b/>
          <w:bCs/>
        </w:rPr>
        <w:t xml:space="preserve">Points to cover:</w:t>
      </w:r>
      <w:r>
        <w:rPr>
          <w:rFonts w:ascii="Arial" w:cs="Arial" w:eastAsia="Arial" w:hAnsi="Arial"/>
        </w:rPr>
        <w:t xml:space="preserve"> Respect, dignity and privacy; do what you can immediately within your role; escalate to the nurse in charge; acknowledge the system pressure behind corridor care without excusing it; discuss patient safety, infection control and communication.</w:t>
      </w:r>
    </w:p>
    <w:p>
      <w:pPr>
        <w:pStyle w:val="Heading3"/>
        <w:keepNext/>
        <w:spacing w:after="80" w:before="180"/>
      </w:pPr>
      <w:r>
        <w:rPr>
          <w:rFonts w:ascii="Arial" w:cs="Arial" w:eastAsia="Arial" w:hAnsi="Arial"/>
        </w:rPr>
        <w:t xml:space="preserve">Station 3: Confidentiality and family</w:t>
      </w:r>
    </w:p>
    <w:p>
      <w:pPr>
        <w:spacing w:after="120" w:line="276"/>
      </w:pPr>
      <w:r>
        <w:rPr>
          <w:rFonts w:ascii="Arial" w:cs="Arial" w:eastAsia="Arial" w:hAnsi="Arial"/>
        </w:rPr>
        <w:t xml:space="preserve"/>
      </w:r>
      <w:r>
        <w:rPr>
          <w:rFonts w:ascii="Arial" w:cs="Arial" w:eastAsia="Arial" w:hAnsi="Arial"/>
          <w:b/>
          <w:bCs/>
        </w:rPr>
        <w:t xml:space="preserve">Prompt:</w:t>
      </w:r>
      <w:r>
        <w:rPr>
          <w:rFonts w:ascii="Arial" w:cs="Arial" w:eastAsia="Arial" w:hAnsi="Arial"/>
        </w:rPr>
        <w:t xml:space="preserve"> The daughter of an elderly patient asks you for details of her mother's diagnosis. Her mother has capacity and has not said what can be shared. What would you do?</w:t>
      </w:r>
    </w:p>
    <w:p>
      <w:pPr>
        <w:spacing w:after="120" w:line="276"/>
      </w:pPr>
      <w:r>
        <w:rPr>
          <w:rFonts w:ascii="Arial" w:cs="Arial" w:eastAsia="Arial" w:hAnsi="Arial"/>
        </w:rPr>
        <w:t xml:space="preserve"/>
      </w:r>
      <w:r>
        <w:rPr>
          <w:rFonts w:ascii="Arial" w:cs="Arial" w:eastAsia="Arial" w:hAnsi="Arial"/>
          <w:b/>
          <w:bCs/>
        </w:rPr>
        <w:t xml:space="preserve">Points to cover:</w:t>
      </w:r>
      <w:r>
        <w:rPr>
          <w:rFonts w:ascii="Arial" w:cs="Arial" w:eastAsia="Arial" w:hAnsi="Arial"/>
        </w:rPr>
        <w:t xml:space="preserve"> Do not disclose without consent; explain kindly why; ask the patient what she is happy to share; consider capacity; involve a senior clinician; note the exceptions (public interest, best interests if no capacity).</w:t>
      </w:r>
    </w:p>
    <w:p>
      <w:pPr>
        <w:pStyle w:val="Heading3"/>
        <w:keepNext/>
        <w:spacing w:after="80" w:before="180"/>
      </w:pPr>
      <w:r>
        <w:rPr>
          <w:rFonts w:ascii="Arial" w:cs="Arial" w:eastAsia="Arial" w:hAnsi="Arial"/>
        </w:rPr>
        <w:t xml:space="preserve">Station 4: Difficult GP access</w:t>
      </w:r>
    </w:p>
    <w:p>
      <w:pPr>
        <w:spacing w:after="120" w:line="276"/>
      </w:pPr>
      <w:r>
        <w:rPr>
          <w:rFonts w:ascii="Arial" w:cs="Arial" w:eastAsia="Arial" w:hAnsi="Arial"/>
        </w:rPr>
        <w:t xml:space="preserve"/>
      </w:r>
      <w:r>
        <w:rPr>
          <w:rFonts w:ascii="Arial" w:cs="Arial" w:eastAsia="Arial" w:hAnsi="Arial"/>
          <w:b/>
          <w:bCs/>
        </w:rPr>
        <w:t xml:space="preserve">Prompt:</w:t>
      </w:r>
      <w:r>
        <w:rPr>
          <w:rFonts w:ascii="Arial" w:cs="Arial" w:eastAsia="Arial" w:hAnsi="Arial"/>
        </w:rPr>
        <w:t xml:space="preserve"> A patient says it took three weeks to get a GP appointment and now is in A&amp;E. How do you respond, and how might the system improve?</w:t>
      </w:r>
    </w:p>
    <w:p>
      <w:pPr>
        <w:spacing w:after="120" w:line="276"/>
      </w:pPr>
      <w:r>
        <w:rPr>
          <w:rFonts w:ascii="Arial" w:cs="Arial" w:eastAsia="Arial" w:hAnsi="Arial"/>
        </w:rPr>
        <w:t xml:space="preserve"/>
      </w:r>
      <w:r>
        <w:rPr>
          <w:rFonts w:ascii="Arial" w:cs="Arial" w:eastAsia="Arial" w:hAnsi="Arial"/>
          <w:b/>
          <w:bCs/>
        </w:rPr>
        <w:t xml:space="preserve">Points to cover:</w:t>
      </w:r>
      <w:r>
        <w:rPr>
          <w:rFonts w:ascii="Arial" w:cs="Arial" w:eastAsia="Arial" w:hAnsi="Arial"/>
        </w:rPr>
        <w:t xml:space="preserve"> Listen and acknowledge frustration; treat the clinical need first; discuss causes (workforce, demand), consequences for A&amp;E and options such as online access, pharmacy first, additional roles and neighbourhood health centres; avoid blaming GPs.</w:t>
      </w:r>
    </w:p>
    <w:p>
      <w:pPr>
        <w:pStyle w:val="Heading3"/>
        <w:keepNext/>
        <w:spacing w:after="80" w:before="180"/>
      </w:pPr>
      <w:r>
        <w:rPr>
          <w:rFonts w:ascii="Arial" w:cs="Arial" w:eastAsia="Arial" w:hAnsi="Arial"/>
        </w:rPr>
        <w:t xml:space="preserve">Station 5: Resource allocation</w:t>
      </w:r>
    </w:p>
    <w:p>
      <w:pPr>
        <w:spacing w:after="120" w:line="276"/>
      </w:pPr>
      <w:r>
        <w:rPr>
          <w:rFonts w:ascii="Arial" w:cs="Arial" w:eastAsia="Arial" w:hAnsi="Arial"/>
        </w:rPr>
        <w:t xml:space="preserve"/>
      </w:r>
      <w:r>
        <w:rPr>
          <w:rFonts w:ascii="Arial" w:cs="Arial" w:eastAsia="Arial" w:hAnsi="Arial"/>
          <w:b/>
          <w:bCs/>
        </w:rPr>
        <w:t xml:space="preserve">Prompt:</w:t>
      </w:r>
      <w:r>
        <w:rPr>
          <w:rFonts w:ascii="Arial" w:cs="Arial" w:eastAsia="Arial" w:hAnsi="Arial"/>
        </w:rPr>
        <w:t xml:space="preserve"> The NHS can fund an expensive new drug that extends life by months for a few patients, or a prevention programme that helps thousands a little. Which should it choose?</w:t>
      </w:r>
    </w:p>
    <w:p>
      <w:pPr>
        <w:spacing w:after="120" w:line="276"/>
      </w:pPr>
      <w:r>
        <w:rPr>
          <w:rFonts w:ascii="Arial" w:cs="Arial" w:eastAsia="Arial" w:hAnsi="Arial"/>
        </w:rPr>
        <w:t xml:space="preserve"/>
      </w:r>
      <w:r>
        <w:rPr>
          <w:rFonts w:ascii="Arial" w:cs="Arial" w:eastAsia="Arial" w:hAnsi="Arial"/>
          <w:b/>
          <w:bCs/>
        </w:rPr>
        <w:t xml:space="preserve">Points to cover:</w:t>
      </w:r>
      <w:r>
        <w:rPr>
          <w:rFonts w:ascii="Arial" w:cs="Arial" w:eastAsia="Arial" w:hAnsi="Arial"/>
        </w:rPr>
        <w:t xml:space="preserve"> Explain the QALY and opportunity cost; justice and utilitarian arguments; compassion for identified patients versus statistical lives; transparency and public involvement; no single right answer, but a reasoned one.</w:t>
      </w:r>
    </w:p>
    <w:p>
      <w:pPr>
        <w:pStyle w:val="Heading3"/>
        <w:keepNext/>
        <w:spacing w:after="80" w:before="180"/>
      </w:pPr>
      <w:r>
        <w:rPr>
          <w:rFonts w:ascii="Arial" w:cs="Arial" w:eastAsia="Arial" w:hAnsi="Arial"/>
        </w:rPr>
        <w:t xml:space="preserve">Station 6: Industrial action</w:t>
      </w:r>
    </w:p>
    <w:p>
      <w:pPr>
        <w:spacing w:after="120" w:line="276"/>
      </w:pPr>
      <w:r>
        <w:rPr>
          <w:rFonts w:ascii="Arial" w:cs="Arial" w:eastAsia="Arial" w:hAnsi="Arial"/>
        </w:rPr>
        <w:t xml:space="preserve"/>
      </w:r>
      <w:r>
        <w:rPr>
          <w:rFonts w:ascii="Arial" w:cs="Arial" w:eastAsia="Arial" w:hAnsi="Arial"/>
          <w:b/>
          <w:bCs/>
        </w:rPr>
        <w:t xml:space="preserve">Prompt:</w:t>
      </w:r>
      <w:r>
        <w:rPr>
          <w:rFonts w:ascii="Arial" w:cs="Arial" w:eastAsia="Arial" w:hAnsi="Arial"/>
        </w:rPr>
        <w:t xml:space="preserve"> Resident doctors are on strike and your relative's operation has been postponed. Is it ethical for doctors to strike?</w:t>
      </w:r>
    </w:p>
    <w:p>
      <w:pPr>
        <w:spacing w:after="120" w:line="276"/>
      </w:pPr>
      <w:r>
        <w:rPr>
          <w:rFonts w:ascii="Arial" w:cs="Arial" w:eastAsia="Arial" w:hAnsi="Arial"/>
        </w:rPr>
        <w:t xml:space="preserve"/>
      </w:r>
      <w:r>
        <w:rPr>
          <w:rFonts w:ascii="Arial" w:cs="Arial" w:eastAsia="Arial" w:hAnsi="Arial"/>
          <w:b/>
          <w:bCs/>
        </w:rPr>
        <w:t xml:space="preserve">Points to cover:</w:t>
      </w:r>
      <w:r>
        <w:rPr>
          <w:rFonts w:ascii="Arial" w:cs="Arial" w:eastAsia="Arial" w:hAnsi="Arial"/>
        </w:rPr>
        <w:t xml:space="preserve"> Acknowledge patient harm and doctors' concerns; discuss duty to patients versus rights and long-term patient safety; derogations and emergency cover; alternatives to strike; stay balanced and non-partisan.</w:t>
      </w:r>
    </w:p>
    <w:p>
      <w:pPr>
        <w:pStyle w:val="Heading3"/>
        <w:keepNext/>
        <w:spacing w:after="80" w:before="180"/>
      </w:pPr>
      <w:r>
        <w:rPr>
          <w:rFonts w:ascii="Arial" w:cs="Arial" w:eastAsia="Arial" w:hAnsi="Arial"/>
        </w:rPr>
        <w:t xml:space="preserve">Station 7: Digital exclusion</w:t>
      </w:r>
    </w:p>
    <w:p>
      <w:pPr>
        <w:spacing w:after="120" w:line="276"/>
      </w:pPr>
      <w:r>
        <w:rPr>
          <w:rFonts w:ascii="Arial" w:cs="Arial" w:eastAsia="Arial" w:hAnsi="Arial"/>
        </w:rPr>
        <w:t xml:space="preserve"/>
      </w:r>
      <w:r>
        <w:rPr>
          <w:rFonts w:ascii="Arial" w:cs="Arial" w:eastAsia="Arial" w:hAnsi="Arial"/>
          <w:b/>
          <w:bCs/>
        </w:rPr>
        <w:t xml:space="preserve">Prompt:</w:t>
      </w:r>
      <w:r>
        <w:rPr>
          <w:rFonts w:ascii="Arial" w:cs="Arial" w:eastAsia="Arial" w:hAnsi="Arial"/>
        </w:rPr>
        <w:t xml:space="preserve"> The NHS is moving more services to the NHS App. What might be the downside and how could it be handled?</w:t>
      </w:r>
    </w:p>
    <w:p>
      <w:pPr>
        <w:spacing w:after="120" w:line="276"/>
      </w:pPr>
      <w:r>
        <w:rPr>
          <w:rFonts w:ascii="Arial" w:cs="Arial" w:eastAsia="Arial" w:hAnsi="Arial"/>
        </w:rPr>
        <w:t xml:space="preserve"/>
      </w:r>
      <w:r>
        <w:rPr>
          <w:rFonts w:ascii="Arial" w:cs="Arial" w:eastAsia="Arial" w:hAnsi="Arial"/>
          <w:b/>
          <w:bCs/>
        </w:rPr>
        <w:t xml:space="preserve">Points to cover:</w:t>
      </w:r>
      <w:r>
        <w:rPr>
          <w:rFonts w:ascii="Arial" w:cs="Arial" w:eastAsia="Arial" w:hAnsi="Arial"/>
        </w:rPr>
        <w:t xml:space="preserve"> Benefits (convenience, access, self-management); risks (digital exclusion by age, income, disability, language); keep non-digital routes; digital inclusion support; privacy and data security; avoid assuming everyone can use it.</w:t>
      </w:r>
    </w:p>
    <w:p>
      <w:pPr>
        <w:pStyle w:val="Heading3"/>
        <w:keepNext/>
        <w:spacing w:after="80" w:before="180"/>
      </w:pPr>
      <w:r>
        <w:rPr>
          <w:rFonts w:ascii="Arial" w:cs="Arial" w:eastAsia="Arial" w:hAnsi="Arial"/>
        </w:rPr>
        <w:t xml:space="preserve">Station 8: Reporting a colleague</w:t>
      </w:r>
    </w:p>
    <w:p>
      <w:pPr>
        <w:spacing w:after="120" w:line="276"/>
      </w:pPr>
      <w:r>
        <w:rPr>
          <w:rFonts w:ascii="Arial" w:cs="Arial" w:eastAsia="Arial" w:hAnsi="Arial"/>
        </w:rPr>
        <w:t xml:space="preserve"/>
      </w:r>
      <w:r>
        <w:rPr>
          <w:rFonts w:ascii="Arial" w:cs="Arial" w:eastAsia="Arial" w:hAnsi="Arial"/>
          <w:b/>
          <w:bCs/>
        </w:rPr>
        <w:t xml:space="preserve">Prompt:</w:t>
      </w:r>
      <w:r>
        <w:rPr>
          <w:rFonts w:ascii="Arial" w:cs="Arial" w:eastAsia="Arial" w:hAnsi="Arial"/>
        </w:rPr>
        <w:t xml:space="preserve"> You notice a friend and fellow volunteer repeatedly arrive late and smell of alcohol while working with patients. What would you do?</w:t>
      </w:r>
    </w:p>
    <w:p>
      <w:pPr>
        <w:spacing w:after="120" w:line="276"/>
      </w:pPr>
      <w:r>
        <w:rPr>
          <w:rFonts w:ascii="Arial" w:cs="Arial" w:eastAsia="Arial" w:hAnsi="Arial"/>
        </w:rPr>
        <w:t xml:space="preserve"/>
      </w:r>
      <w:r>
        <w:rPr>
          <w:rFonts w:ascii="Arial" w:cs="Arial" w:eastAsia="Arial" w:hAnsi="Arial"/>
          <w:b/>
          <w:bCs/>
        </w:rPr>
        <w:t xml:space="preserve">Points to cover:</w:t>
      </w:r>
      <w:r>
        <w:rPr>
          <w:rFonts w:ascii="Arial" w:cs="Arial" w:eastAsia="Arial" w:hAnsi="Arial"/>
        </w:rPr>
        <w:t xml:space="preserve"> Patient safety first; talk to them if safe and appropriate; escalate to a supervisor; duty to protect patients overrides loyalty; fitness-to-practise and support routes for the colleague; keep confidentiality.</w:t>
      </w:r>
    </w:p>
    <w:p>
      <w:pPr>
        <w:pStyle w:val="Heading3"/>
        <w:keepNext/>
        <w:spacing w:after="80" w:before="180"/>
      </w:pPr>
      <w:r>
        <w:rPr>
          <w:rFonts w:ascii="Arial" w:cs="Arial" w:eastAsia="Arial" w:hAnsi="Arial"/>
        </w:rPr>
        <w:t xml:space="preserve">Station 9: Prevention versus choice</w:t>
      </w:r>
    </w:p>
    <w:p>
      <w:pPr>
        <w:spacing w:after="120" w:line="276"/>
      </w:pPr>
      <w:r>
        <w:rPr>
          <w:rFonts w:ascii="Arial" w:cs="Arial" w:eastAsia="Arial" w:hAnsi="Arial"/>
        </w:rPr>
        <w:t xml:space="preserve"/>
      </w:r>
      <w:r>
        <w:rPr>
          <w:rFonts w:ascii="Arial" w:cs="Arial" w:eastAsia="Arial" w:hAnsi="Arial"/>
          <w:b/>
          <w:bCs/>
        </w:rPr>
        <w:t xml:space="preserve">Prompt:</w:t>
      </w:r>
      <w:r>
        <w:rPr>
          <w:rFonts w:ascii="Arial" w:cs="Arial" w:eastAsia="Arial" w:hAnsi="Arial"/>
        </w:rPr>
        <w:t xml:space="preserve"> Should the NHS refuse some non-urgent surgery to smokers or people with obesity until they change habits?</w:t>
      </w:r>
    </w:p>
    <w:p>
      <w:pPr>
        <w:spacing w:after="120" w:line="276"/>
      </w:pPr>
      <w:r>
        <w:rPr>
          <w:rFonts w:ascii="Arial" w:cs="Arial" w:eastAsia="Arial" w:hAnsi="Arial"/>
        </w:rPr>
        <w:t xml:space="preserve"/>
      </w:r>
      <w:r>
        <w:rPr>
          <w:rFonts w:ascii="Arial" w:cs="Arial" w:eastAsia="Arial" w:hAnsi="Arial"/>
          <w:b/>
          <w:bCs/>
        </w:rPr>
        <w:t xml:space="preserve">Points to cover:</w:t>
      </w:r>
      <w:r>
        <w:rPr>
          <w:rFonts w:ascii="Arial" w:cs="Arial" w:eastAsia="Arial" w:hAnsi="Arial"/>
        </w:rPr>
        <w:t xml:space="preserve"> Autonomy, fairness and stigma; clinical evidence that surgical risk is higher for some; the difference between clinical optimisation and punishment; support to change habits; avoid moralising; consider equity.</w:t>
      </w:r>
    </w:p>
    <w:p>
      <w:pPr>
        <w:pStyle w:val="Heading3"/>
        <w:keepNext/>
        <w:spacing w:after="80" w:before="180"/>
      </w:pPr>
      <w:r>
        <w:rPr>
          <w:rFonts w:ascii="Arial" w:cs="Arial" w:eastAsia="Arial" w:hAnsi="Arial"/>
        </w:rPr>
        <w:t xml:space="preserve">Station 10: NHS 10 Year Plan</w:t>
      </w:r>
    </w:p>
    <w:p>
      <w:pPr>
        <w:spacing w:after="120" w:line="276"/>
      </w:pPr>
      <w:r>
        <w:rPr>
          <w:rFonts w:ascii="Arial" w:cs="Arial" w:eastAsia="Arial" w:hAnsi="Arial"/>
        </w:rPr>
        <w:t xml:space="preserve"/>
      </w:r>
      <w:r>
        <w:rPr>
          <w:rFonts w:ascii="Arial" w:cs="Arial" w:eastAsia="Arial" w:hAnsi="Arial"/>
          <w:b/>
          <w:bCs/>
        </w:rPr>
        <w:t xml:space="preserve">Prompt:</w:t>
      </w:r>
      <w:r>
        <w:rPr>
          <w:rFonts w:ascii="Arial" w:cs="Arial" w:eastAsia="Arial" w:hAnsi="Arial"/>
        </w:rPr>
        <w:t xml:space="preserve"> The plan aims to move care from hospitals to communities. What are the benefits and risks?</w:t>
      </w:r>
    </w:p>
    <w:p>
      <w:pPr>
        <w:spacing w:after="120" w:line="276"/>
      </w:pPr>
      <w:r>
        <w:rPr>
          <w:rFonts w:ascii="Arial" w:cs="Arial" w:eastAsia="Arial" w:hAnsi="Arial"/>
        </w:rPr>
        <w:t xml:space="preserve"/>
      </w:r>
      <w:r>
        <w:rPr>
          <w:rFonts w:ascii="Arial" w:cs="Arial" w:eastAsia="Arial" w:hAnsi="Arial"/>
          <w:b/>
          <w:bCs/>
        </w:rPr>
        <w:t xml:space="preserve">Points to cover:</w:t>
      </w:r>
      <w:r>
        <w:rPr>
          <w:rFonts w:ascii="Arial" w:cs="Arial" w:eastAsia="Arial" w:hAnsi="Arial"/>
        </w:rPr>
        <w:t xml:space="preserve"> Benefits: convenience, prevention, continuity, relief for hospitals. Risks: capacity and funding must follow patients, workforce shortages in community and primary care, unequal local delivery, complex cases and digital exclusion; need to measure outcomes.</w:t>
      </w:r>
    </w:p>
    <w:p>
      <w:pPr>
        <w:pStyle w:val="Heading2"/>
        <w:keepNext/>
        <w:spacing w:after="100" w:before="240"/>
      </w:pPr>
      <w:r>
        <w:rPr>
          <w:rFonts w:ascii="Arial" w:cs="Arial" w:eastAsia="Arial" w:hAnsi="Arial"/>
        </w:rPr>
        <w:t xml:space="preserve">6.4 Common mistakes</w:t>
      </w:r>
    </w:p>
    <w:p>
      <w:pPr>
        <w:pStyle w:val="ListParagraph"/>
        <w:numPr>
          <w:ilvl w:val="0"/>
          <w:numId w:val="2"/>
        </w:numPr>
        <w:spacing w:after="70" w:line="264"/>
      </w:pPr>
      <w:r>
        <w:rPr>
          <w:rFonts w:ascii="Arial" w:cs="Arial" w:eastAsia="Arial" w:hAnsi="Arial"/>
        </w:rPr>
        <w:t xml:space="preserve">Listing facts without relating them to patients or ethics.</w:t>
      </w:r>
    </w:p>
    <w:p>
      <w:pPr>
        <w:pStyle w:val="ListParagraph"/>
        <w:numPr>
          <w:ilvl w:val="0"/>
          <w:numId w:val="2"/>
        </w:numPr>
        <w:spacing w:after="70" w:line="264"/>
      </w:pPr>
      <w:r>
        <w:rPr>
          <w:rFonts w:ascii="Arial" w:cs="Arial" w:eastAsia="Arial" w:hAnsi="Arial"/>
        </w:rPr>
        <w:t xml:space="preserve">Giving a quick verdict without weighing alternatives.</w:t>
      </w:r>
    </w:p>
    <w:p>
      <w:pPr>
        <w:pStyle w:val="ListParagraph"/>
        <w:numPr>
          <w:ilvl w:val="0"/>
          <w:numId w:val="2"/>
        </w:numPr>
        <w:spacing w:after="70" w:line="264"/>
      </w:pPr>
      <w:r>
        <w:rPr>
          <w:rFonts w:ascii="Arial" w:cs="Arial" w:eastAsia="Arial" w:hAnsi="Arial"/>
        </w:rPr>
        <w:t xml:space="preserve">Over-relying on statistics, or quoting figures that are out of date.</w:t>
      </w:r>
    </w:p>
    <w:p>
      <w:pPr>
        <w:pStyle w:val="ListParagraph"/>
        <w:numPr>
          <w:ilvl w:val="0"/>
          <w:numId w:val="2"/>
        </w:numPr>
        <w:spacing w:after="70" w:line="264"/>
      </w:pPr>
      <w:r>
        <w:rPr>
          <w:rFonts w:ascii="Arial" w:cs="Arial" w:eastAsia="Arial" w:hAnsi="Arial"/>
        </w:rPr>
        <w:t xml:space="preserve">Criticising the NHS or staff in an emotional or one-sided way.</w:t>
      </w:r>
    </w:p>
    <w:p>
      <w:pPr>
        <w:pStyle w:val="ListParagraph"/>
        <w:numPr>
          <w:ilvl w:val="0"/>
          <w:numId w:val="2"/>
        </w:numPr>
        <w:spacing w:after="70" w:line="264"/>
      </w:pPr>
      <w:r>
        <w:rPr>
          <w:rFonts w:ascii="Arial" w:cs="Arial" w:eastAsia="Arial" w:hAnsi="Arial"/>
        </w:rPr>
        <w:t xml:space="preserve">Forgetting to say that you would involve a senior colleague or follow policy.</w:t>
      </w:r>
    </w:p>
    <w:p>
      <w:pPr>
        <w:pStyle w:val="ListParagraph"/>
        <w:numPr>
          <w:ilvl w:val="0"/>
          <w:numId w:val="2"/>
        </w:numPr>
        <w:spacing w:after="70" w:line="264"/>
      </w:pPr>
      <w:r>
        <w:rPr>
          <w:rFonts w:ascii="Arial" w:cs="Arial" w:eastAsia="Arial" w:hAnsi="Arial"/>
        </w:rPr>
        <w:t xml:space="preserve">Treating values as buzzwords rather than behaviours.</w:t>
      </w:r>
    </w:p>
    <w:p>
      <w:pPr>
        <w:pStyle w:val="Heading2"/>
        <w:keepNext/>
        <w:spacing w:after="100" w:before="240"/>
      </w:pPr>
      <w:r>
        <w:rPr>
          <w:rFonts w:ascii="Arial" w:cs="Arial" w:eastAsia="Arial" w:hAnsi="Arial"/>
        </w:rPr>
        <w:t xml:space="preserve">6.5 Glossary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cantSplit/>
          <w:tblHeader/>
        </w:trPr>
        <w:tc>
          <w:tcPr>
            <w:tcW w:type="dxa" w:w="2800"/>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Term</w:t>
            </w:r>
          </w:p>
        </w:tc>
        <w:tc>
          <w:tcPr>
            <w:tcW w:type="dxa" w:w="6838"/>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Meaning</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Elective care</w:t>
            </w:r>
          </w:p>
        </w:tc>
        <w:tc>
          <w:tcPr>
            <w:tcW w:type="dxa" w:w="68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Planned (non-emergency) treatment, such as a hip replacement.</w:t>
            </w:r>
          </w:p>
        </w:tc>
      </w:tr>
      <w:tr>
        <w:trPr>
          <w:cantSplit/>
          <w:tblHeader w:val="false"/>
        </w:trPr>
        <w:tc>
          <w:tcPr>
            <w:tcW w:type="dxa" w:w="28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RTT (referral to treatment)</w:t>
            </w:r>
          </w:p>
        </w:tc>
        <w:tc>
          <w:tcPr>
            <w:tcW w:type="dxa" w:w="68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The measure of how long a patient waits from referral to starting treatment.</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ICB</w:t>
            </w:r>
          </w:p>
        </w:tc>
        <w:tc>
          <w:tcPr>
            <w:tcW w:type="dxa" w:w="68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Integrated Care Board: the local NHS body that plans and funds services for its area.</w:t>
            </w:r>
          </w:p>
        </w:tc>
      </w:tr>
      <w:tr>
        <w:trPr>
          <w:cantSplit/>
          <w:tblHeader w:val="false"/>
        </w:trPr>
        <w:tc>
          <w:tcPr>
            <w:tcW w:type="dxa" w:w="28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PCN</w:t>
            </w:r>
          </w:p>
        </w:tc>
        <w:tc>
          <w:tcPr>
            <w:tcW w:type="dxa" w:w="68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Primary Care Network: group of GP practices working together.</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Corridor care</w:t>
            </w:r>
          </w:p>
        </w:tc>
        <w:tc>
          <w:tcPr>
            <w:tcW w:type="dxa" w:w="68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Treating patients in non-clinical spaces because no bed or cubicle is available.</w:t>
            </w:r>
          </w:p>
        </w:tc>
      </w:tr>
      <w:tr>
        <w:trPr>
          <w:cantSplit/>
          <w:tblHeader w:val="false"/>
        </w:trPr>
        <w:tc>
          <w:tcPr>
            <w:tcW w:type="dxa" w:w="28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Delayed discharge</w:t>
            </w:r>
          </w:p>
        </w:tc>
        <w:tc>
          <w:tcPr>
            <w:tcW w:type="dxa" w:w="68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A patient who is medically fit to leave hospital but stays because support is not in place.</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QALY</w:t>
            </w:r>
          </w:p>
        </w:tc>
        <w:tc>
          <w:tcPr>
            <w:tcW w:type="dxa" w:w="68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Quality-adjusted life year: a measure combining length and quality of life, used to assess value for money.</w:t>
            </w:r>
          </w:p>
        </w:tc>
      </w:tr>
      <w:tr>
        <w:trPr>
          <w:cantSplit/>
          <w:tblHeader w:val="false"/>
        </w:trPr>
        <w:tc>
          <w:tcPr>
            <w:tcW w:type="dxa" w:w="28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NICE</w:t>
            </w:r>
          </w:p>
        </w:tc>
        <w:tc>
          <w:tcPr>
            <w:tcW w:type="dxa" w:w="68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National Institute for Health and Care Excellence.</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CQC</w:t>
            </w:r>
          </w:p>
        </w:tc>
        <w:tc>
          <w:tcPr>
            <w:tcW w:type="dxa" w:w="68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Care Quality Commission: independent regulator of health and social care quality.</w:t>
            </w:r>
          </w:p>
        </w:tc>
      </w:tr>
      <w:tr>
        <w:trPr>
          <w:cantSplit/>
          <w:tblHeader w:val="false"/>
        </w:trPr>
        <w:tc>
          <w:tcPr>
            <w:tcW w:type="dxa" w:w="28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Capacity</w:t>
            </w:r>
          </w:p>
        </w:tc>
        <w:tc>
          <w:tcPr>
            <w:tcW w:type="dxa" w:w="68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The ability to make a particular decision at a particular time.</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Gillick competence</w:t>
            </w:r>
          </w:p>
        </w:tc>
        <w:tc>
          <w:tcPr>
            <w:tcW w:type="dxa" w:w="68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Test of whether a child under 16 can consent to their own treatment.</w:t>
            </w:r>
          </w:p>
        </w:tc>
      </w:tr>
      <w:tr>
        <w:trPr>
          <w:cantSplit/>
          <w:tblHeader w:val="false"/>
        </w:trPr>
        <w:tc>
          <w:tcPr>
            <w:tcW w:type="dxa" w:w="28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Duty of candour</w:t>
            </w:r>
          </w:p>
        </w:tc>
        <w:tc>
          <w:tcPr>
            <w:tcW w:type="dxa" w:w="68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Legal and professional duty to be open and honest when something goes wrong.</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Health inequality</w:t>
            </w:r>
          </w:p>
        </w:tc>
        <w:tc>
          <w:tcPr>
            <w:tcW w:type="dxa" w:w="68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Avoidable, unfair differences in health between groups.</w:t>
            </w:r>
          </w:p>
        </w:tc>
      </w:tr>
      <w:tr>
        <w:trPr>
          <w:cantSplit/>
          <w:tblHeader w:val="false"/>
        </w:trPr>
        <w:tc>
          <w:tcPr>
            <w:tcW w:type="dxa" w:w="28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Proportionate universalism</w:t>
            </w:r>
          </w:p>
        </w:tc>
        <w:tc>
          <w:tcPr>
            <w:tcW w:type="dxa" w:w="68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Universal services with more intensity for those with greater need.</w:t>
            </w:r>
          </w:p>
        </w:tc>
      </w:tr>
      <w:tr>
        <w:trPr>
          <w:cantSplit/>
          <w:tblHeader w:val="false"/>
        </w:trPr>
        <w:tc>
          <w:tcPr>
            <w:tcW w:type="dxa" w:w="28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Neighbourhood health centre</w:t>
            </w:r>
          </w:p>
        </w:tc>
        <w:tc>
          <w:tcPr>
            <w:tcW w:type="dxa" w:w="68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A planned community hub bringing together GPs, nurses, therapists and other services.</w:t>
            </w:r>
          </w:p>
        </w:tc>
      </w:tr>
    </w:tbl>
    <w:p>
      <w:pPr>
        <w:pStyle w:val="Heading1"/>
        <w:pageBreakBefore/>
        <w:spacing w:after="160" w:before="240"/>
      </w:pPr>
      <w:r>
        <w:rPr>
          <w:rFonts w:ascii="Arial" w:cs="Arial" w:eastAsia="Arial" w:hAnsi="Arial"/>
        </w:rPr>
        <w:t xml:space="preserve">Part 7: Sources and verification</w:t>
      </w:r>
    </w:p>
    <w:p>
      <w:pPr>
        <w:spacing w:after="120" w:line="276"/>
      </w:pPr>
      <w:r>
        <w:rPr>
          <w:rFonts w:ascii="Arial" w:cs="Arial" w:eastAsia="Arial" w:hAnsi="Arial"/>
        </w:rPr>
        <w:t xml:space="preserve">This guide drew on the following types of source. Before using any figure in public material, confirm it on the primary site.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cantSplit/>
          <w:tblHeader/>
        </w:trPr>
        <w:tc>
          <w:tcPr>
            <w:tcW w:type="dxa" w:w="3200"/>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Source</w:t>
            </w:r>
          </w:p>
        </w:tc>
        <w:tc>
          <w:tcPr>
            <w:tcW w:type="dxa" w:w="6438"/>
            <w:tcBorders>
              <w:top w:val="single" w:color="BFBFBF" w:sz="4"/>
              <w:left w:val="single" w:color="BFBFBF" w:sz="4"/>
              <w:bottom w:val="single" w:color="BFBFBF" w:sz="4"/>
              <w:right w:val="single" w:color="BFBFBF" w:sz="4"/>
            </w:tcBorders>
            <w:shd w:fill="1F4E79" w:color="auto" w:val="clear"/>
            <w:tcMar>
              <w:top w:type="dxa" w:w="70"/>
              <w:left w:type="dxa" w:w="110"/>
              <w:bottom w:type="dxa" w:w="70"/>
              <w:right w:type="dxa" w:w="110"/>
            </w:tcMar>
          </w:tcPr>
          <w:p>
            <w:pPr>
              <w:spacing w:after="0" w:line="252"/>
            </w:pPr>
            <w:r>
              <w:rPr>
                <w:rFonts w:ascii="Arial" w:cs="Arial" w:eastAsia="Arial" w:hAnsi="Arial"/>
                <w:b/>
                <w:bCs/>
                <w:color w:val="FFFFFF"/>
                <w:sz w:val="20"/>
                <w:szCs w:val="20"/>
              </w:rPr>
              <w:t xml:space="preserve">Used for</w:t>
            </w:r>
          </w:p>
        </w:tc>
      </w:tr>
      <w:tr>
        <w:trPr>
          <w:cantSplit/>
          <w:tblHeader w:val="false"/>
        </w:trPr>
        <w:tc>
          <w:tcPr>
            <w:tcW w:type="dxa" w:w="32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england.nhs.uk (NHS England homepage)</w:t>
            </w:r>
          </w:p>
        </w:tc>
        <w:tc>
          <w:tcPr>
            <w:tcW w:type="dxa" w:w="64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Mission, programme areas, Urgent and Emergency Care Plan 2025/26, Change NHS.</w:t>
            </w:r>
          </w:p>
        </w:tc>
      </w:tr>
      <w:tr>
        <w:trPr>
          <w:cantSplit/>
          <w:tblHeader w:val="false"/>
        </w:trPr>
        <w:tc>
          <w:tcPr>
            <w:tcW w:type="dxa" w:w="32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NHS England statistics (Referral to Treatment, A&amp;E, GP appointments)</w:t>
            </w:r>
          </w:p>
        </w:tc>
        <w:tc>
          <w:tcPr>
            <w:tcW w:type="dxa" w:w="64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Primary data for waiting lists, emergency care and general practice; check the latest monthly release.</w:t>
            </w:r>
          </w:p>
        </w:tc>
      </w:tr>
      <w:tr>
        <w:trPr>
          <w:cantSplit/>
          <w:tblHeader w:val="false"/>
        </w:trPr>
        <w:tc>
          <w:tcPr>
            <w:tcW w:type="dxa" w:w="32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UK news reports of NHS monthly performance data (August to October 2026)</w:t>
            </w:r>
          </w:p>
        </w:tc>
        <w:tc>
          <w:tcPr>
            <w:tcW w:type="dxa" w:w="64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Latest waiting list figures and context.</w:t>
            </w:r>
          </w:p>
        </w:tc>
      </w:tr>
      <w:tr>
        <w:trPr>
          <w:cantSplit/>
          <w:tblHeader w:val="false"/>
        </w:trPr>
        <w:tc>
          <w:tcPr>
            <w:tcW w:type="dxa" w:w="32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British Medical Association (BMA) and Royal College of GPs</w:t>
            </w:r>
          </w:p>
        </w:tc>
        <w:tc>
          <w:tcPr>
            <w:tcW w:type="dxa" w:w="64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GP workforce and appointment data; resident doctor dispute.</w:t>
            </w:r>
          </w:p>
        </w:tc>
      </w:tr>
      <w:tr>
        <w:trPr>
          <w:cantSplit/>
          <w:tblHeader w:val="false"/>
        </w:trPr>
        <w:tc>
          <w:tcPr>
            <w:tcW w:type="dxa" w:w="32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The King's Fund, IFS, Health Foundation, HFMA</w:t>
            </w:r>
          </w:p>
        </w:tc>
        <w:tc>
          <w:tcPr>
            <w:tcW w:type="dxa" w:w="64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Spending Review 2025 and funding analysis.</w:t>
            </w:r>
          </w:p>
        </w:tc>
      </w:tr>
      <w:tr>
        <w:trPr>
          <w:cantSplit/>
          <w:tblHeader w:val="false"/>
        </w:trPr>
        <w:tc>
          <w:tcPr>
            <w:tcW w:type="dxa" w:w="3200"/>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10 Year Health Plan summaries (Healthwatch, legal and local NHS summaries, Health Systems and Policy Monitor)</w:t>
            </w:r>
          </w:p>
        </w:tc>
        <w:tc>
          <w:tcPr>
            <w:tcW w:type="dxa" w:w="6438"/>
            <w:tcBorders>
              <w:top w:val="single" w:color="BFBFBF" w:sz="4"/>
              <w:left w:val="single" w:color="BFBFBF" w:sz="4"/>
              <w:bottom w:val="single" w:color="BFBFBF" w:sz="4"/>
              <w:right w:val="single" w:color="BFBFBF" w:sz="4"/>
            </w:tcBorders>
            <w:shd w:fill="F2F6FA" w:color="auto" w:val="clear"/>
            <w:tcMar>
              <w:top w:type="dxa" w:w="70"/>
              <w:left w:type="dxa" w:w="110"/>
              <w:bottom w:type="dxa" w:w="70"/>
              <w:right w:type="dxa" w:w="110"/>
            </w:tcMar>
          </w:tcPr>
          <w:p>
            <w:pPr>
              <w:spacing w:after="0" w:line="252"/>
            </w:pPr>
            <w:r>
              <w:rPr>
                <w:rFonts w:ascii="Arial" w:cs="Arial" w:eastAsia="Arial" w:hAnsi="Arial"/>
                <w:sz w:val="20"/>
                <w:szCs w:val="20"/>
              </w:rPr>
              <w:t xml:space="preserve">Plan structure and commitments.</w:t>
            </w:r>
          </w:p>
        </w:tc>
      </w:tr>
      <w:tr>
        <w:trPr>
          <w:cantSplit/>
          <w:tblHeader w:val="false"/>
        </w:trPr>
        <w:tc>
          <w:tcPr>
            <w:tcW w:type="dxa" w:w="320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GMC, NICE, NHS Constitution, Mental Capacity Act 2005, Equality Act 2010</w:t>
            </w:r>
          </w:p>
        </w:tc>
        <w:tc>
          <w:tcPr>
            <w:tcW w:type="dxa" w:w="6438"/>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Arial" w:cs="Arial" w:eastAsia="Arial" w:hAnsi="Arial"/>
                <w:sz w:val="20"/>
                <w:szCs w:val="20"/>
              </w:rPr>
              <w:t xml:space="preserve">Ethics, law and values frameworks. Read the primary documents directly.</w:t>
            </w:r>
          </w:p>
        </w:tc>
      </w:tr>
    </w:tbl>
    <w:p>
      <w:pPr>
        <w:spacing w:after="120"/>
      </w:pP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8"/>
        <w:szCs w:val="18"/>
      </w:rPr>
      <w:t xml:space="preserve">NHS References for MMI Preparation | Page </w:t>
    </w:r>
    <w:r>
      <w:rPr>
        <w:rFonts w:ascii="Arial" w:cs="Arial" w:eastAsia="Arial" w:hAnsi="Arial"/>
        <w:color w:val="7F7F7F"/>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1F4E79"/>
      <w:sz w:val="34"/>
      <w:szCs w:val="34"/>
    </w:rPr>
  </w:style>
  <w:style w:type="paragraph" w:styleId="Heading2">
    <w:name w:val="Heading 2"/>
    <w:basedOn w:val="Normal"/>
    <w:next w:val="Normal"/>
    <w:qFormat/>
    <w:pPr>
      <w:spacing w:after="100" w:before="240"/>
      <w:outlineLvl w:val="1"/>
    </w:pPr>
    <w:rPr>
      <w:rFonts w:ascii="Arial" w:cs="Arial" w:eastAsia="Arial" w:hAnsi="Arial"/>
      <w:b/>
      <w:bCs/>
      <w:color w:val="1F4E79"/>
      <w:sz w:val="27"/>
      <w:szCs w:val="27"/>
    </w:rPr>
  </w:style>
  <w:style w:type="paragraph" w:styleId="Heading3">
    <w:name w:val="Heading 3"/>
    <w:basedOn w:val="Normal"/>
    <w:next w:val="Normal"/>
    <w:qFormat/>
    <w:pPr>
      <w:spacing w:after="80" w:before="180"/>
      <w:outlineLvl w:val="2"/>
    </w:pPr>
    <w:rPr>
      <w:rFonts w:ascii="Arial" w:cs="Arial" w:eastAsia="Arial" w:hAnsi="Arial"/>
      <w:b/>
      <w:bCs/>
      <w:color w:val="40404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References for MMI Preparation</dc:title>
  <dc:creator>EduQuest</dc:creator>
  <cp:lastModifiedBy>Un-named</cp:lastModifiedBy>
  <cp:revision>1</cp:revision>
  <dcterms:created xsi:type="dcterms:W3CDTF">2026-10-14T10:41:27.588Z</dcterms:created>
  <dcterms:modified xsi:type="dcterms:W3CDTF">2026-10-14T10:41:27.594Z</dcterms:modified>
</cp:coreProperties>
</file>

<file path=docProps/custom.xml><?xml version="1.0" encoding="utf-8"?>
<Properties xmlns="http://schemas.openxmlformats.org/officeDocument/2006/custom-properties" xmlns:vt="http://schemas.openxmlformats.org/officeDocument/2006/docPropsVTypes"/>
</file>